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62" w:rsidRPr="008C2298" w:rsidRDefault="001A3F62" w:rsidP="001A3F6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C2298">
        <w:rPr>
          <w:rFonts w:ascii="Times New Roman" w:hAnsi="Times New Roman"/>
          <w:sz w:val="24"/>
          <w:szCs w:val="24"/>
        </w:rPr>
        <w:t>АДМИНИСТРАЦИЯ МИХАЙЛОВСКОГО СЕЛЬСКОГО ПОСЕЛЕНИЯ</w:t>
      </w:r>
    </w:p>
    <w:p w:rsidR="001A3F62" w:rsidRPr="008C2298" w:rsidRDefault="001A3F62" w:rsidP="001A3F6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C2298">
        <w:rPr>
          <w:rFonts w:ascii="Times New Roman" w:hAnsi="Times New Roman"/>
          <w:sz w:val="24"/>
          <w:szCs w:val="24"/>
        </w:rPr>
        <w:t>ПАНИНСКОГО МУНИЦИПАЛЬНОГО РАЙОНА</w:t>
      </w:r>
    </w:p>
    <w:p w:rsidR="001A3F62" w:rsidRPr="008C2298" w:rsidRDefault="001A3F62" w:rsidP="001A3F6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C2298">
        <w:rPr>
          <w:rFonts w:ascii="Times New Roman" w:hAnsi="Times New Roman"/>
          <w:sz w:val="24"/>
          <w:szCs w:val="24"/>
        </w:rPr>
        <w:t>ВОРОНЕЖСКОЙ ОБЛАСТИ</w:t>
      </w:r>
    </w:p>
    <w:p w:rsidR="001A3F62" w:rsidRPr="008C2298" w:rsidRDefault="001A3F62" w:rsidP="001A3F6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A3F62" w:rsidRPr="008C2298" w:rsidRDefault="001A3F62" w:rsidP="001A3F6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C2298">
        <w:rPr>
          <w:rFonts w:ascii="Times New Roman" w:hAnsi="Times New Roman"/>
          <w:sz w:val="24"/>
          <w:szCs w:val="24"/>
        </w:rPr>
        <w:t>РАСПОРЯЖЕНИЕ</w:t>
      </w:r>
    </w:p>
    <w:p w:rsidR="001A3F62" w:rsidRPr="008C2298" w:rsidRDefault="001A3F62" w:rsidP="001A3F6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A3F62" w:rsidRPr="008C2298" w:rsidRDefault="001A3F62" w:rsidP="001A3F62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8C2298">
        <w:rPr>
          <w:rFonts w:ascii="Times New Roman" w:hAnsi="Times New Roman"/>
          <w:sz w:val="24"/>
          <w:szCs w:val="24"/>
          <w:u w:val="single"/>
        </w:rPr>
        <w:t>от 07.12.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C2298">
        <w:rPr>
          <w:rFonts w:ascii="Times New Roman" w:hAnsi="Times New Roman"/>
          <w:sz w:val="24"/>
          <w:szCs w:val="24"/>
          <w:u w:val="single"/>
        </w:rPr>
        <w:t>2016г.         №</w:t>
      </w:r>
      <w:r>
        <w:rPr>
          <w:rFonts w:ascii="Times New Roman" w:hAnsi="Times New Roman"/>
          <w:sz w:val="24"/>
          <w:szCs w:val="24"/>
          <w:u w:val="single"/>
        </w:rPr>
        <w:t xml:space="preserve"> 64</w:t>
      </w:r>
    </w:p>
    <w:p w:rsidR="001A3F62" w:rsidRDefault="001A3F62" w:rsidP="001A3F6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</w:t>
      </w:r>
      <w:r w:rsidRPr="008C22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Михайловский</w:t>
      </w:r>
    </w:p>
    <w:p w:rsidR="001A3F62" w:rsidRPr="008C2298" w:rsidRDefault="001A3F62" w:rsidP="001A3F62">
      <w:pPr>
        <w:pStyle w:val="a5"/>
        <w:rPr>
          <w:rFonts w:ascii="Times New Roman" w:hAnsi="Times New Roman"/>
          <w:sz w:val="24"/>
          <w:szCs w:val="24"/>
        </w:rPr>
      </w:pPr>
    </w:p>
    <w:p w:rsidR="001A3F62" w:rsidRPr="008C2298" w:rsidRDefault="001A3F62" w:rsidP="001A3F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229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1A3F62" w:rsidRPr="008C2298" w:rsidRDefault="001A3F62" w:rsidP="001A3F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2298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1A3F62" w:rsidRDefault="001A3F62" w:rsidP="001A3F62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F62">
        <w:rPr>
          <w:rFonts w:ascii="Times New Roman" w:hAnsi="Times New Roman" w:cs="Times New Roman"/>
          <w:sz w:val="24"/>
          <w:szCs w:val="24"/>
        </w:rPr>
        <w:t>«Признание помещения жилым помещением,</w:t>
      </w:r>
    </w:p>
    <w:p w:rsidR="001A3F62" w:rsidRDefault="001A3F62" w:rsidP="001A3F62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A3F62">
        <w:rPr>
          <w:rFonts w:ascii="Times New Roman" w:hAnsi="Times New Roman" w:cs="Times New Roman"/>
          <w:sz w:val="24"/>
          <w:szCs w:val="24"/>
        </w:rPr>
        <w:t xml:space="preserve"> жилого помещения непригодным для </w:t>
      </w:r>
    </w:p>
    <w:p w:rsidR="001A3F62" w:rsidRDefault="001A3F62" w:rsidP="001A3F62">
      <w:pPr>
        <w:tabs>
          <w:tab w:val="right" w:pos="10206"/>
        </w:tabs>
        <w:spacing w:after="0"/>
        <w:ind w:left="-57" w:firstLine="57"/>
        <w:jc w:val="both"/>
        <w:rPr>
          <w:rFonts w:ascii="Times New Roman" w:hAnsi="Times New Roman" w:cs="Times New Roman"/>
          <w:sz w:val="24"/>
          <w:szCs w:val="24"/>
        </w:rPr>
      </w:pPr>
      <w:r w:rsidRPr="001A3F62">
        <w:rPr>
          <w:rFonts w:ascii="Times New Roman" w:hAnsi="Times New Roman" w:cs="Times New Roman"/>
          <w:sz w:val="24"/>
          <w:szCs w:val="24"/>
        </w:rPr>
        <w:t xml:space="preserve">проживания и многоквартирного дома </w:t>
      </w:r>
    </w:p>
    <w:p w:rsidR="001A3F62" w:rsidRDefault="001A3F62" w:rsidP="001A3F62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F62">
        <w:rPr>
          <w:rFonts w:ascii="Times New Roman" w:hAnsi="Times New Roman" w:cs="Times New Roman"/>
          <w:sz w:val="24"/>
          <w:szCs w:val="24"/>
        </w:rPr>
        <w:t>аварийным и подлежащим сносу и</w:t>
      </w:r>
    </w:p>
    <w:p w:rsidR="001A3F62" w:rsidRPr="001A3F62" w:rsidRDefault="001A3F62" w:rsidP="001A3F62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A3F62">
        <w:rPr>
          <w:rFonts w:ascii="Times New Roman" w:hAnsi="Times New Roman" w:cs="Times New Roman"/>
          <w:sz w:val="24"/>
          <w:szCs w:val="24"/>
        </w:rPr>
        <w:t xml:space="preserve"> реконструкции»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F62" w:rsidRPr="001A3F62" w:rsidRDefault="001A3F62" w:rsidP="001A3F62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1A3F62" w:rsidRPr="008C2298" w:rsidRDefault="001A3F62" w:rsidP="001A3F62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2298">
        <w:rPr>
          <w:rFonts w:ascii="Times New Roman" w:hAnsi="Times New Roman" w:cs="Times New Roman"/>
          <w:sz w:val="24"/>
          <w:szCs w:val="24"/>
        </w:rPr>
        <w:t xml:space="preserve">        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</w:t>
      </w:r>
      <w:r w:rsidRPr="008C2298">
        <w:rPr>
          <w:rFonts w:ascii="Times New Roman" w:hAnsi="Times New Roman" w:cs="Times New Roman"/>
          <w:sz w:val="24"/>
          <w:szCs w:val="24"/>
        </w:rPr>
        <w:t>с</w:t>
      </w:r>
      <w:r w:rsidRPr="008C2298">
        <w:rPr>
          <w:rFonts w:ascii="Times New Roman" w:hAnsi="Times New Roman" w:cs="Times New Roman"/>
          <w:sz w:val="24"/>
          <w:szCs w:val="24"/>
        </w:rPr>
        <w:t>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Михайловского сельского пос</w:t>
      </w:r>
      <w:r w:rsidRPr="008C2298">
        <w:rPr>
          <w:rFonts w:ascii="Times New Roman" w:hAnsi="Times New Roman" w:cs="Times New Roman"/>
          <w:sz w:val="24"/>
          <w:szCs w:val="24"/>
        </w:rPr>
        <w:t>е</w:t>
      </w:r>
      <w:r w:rsidRPr="008C2298">
        <w:rPr>
          <w:rFonts w:ascii="Times New Roman" w:hAnsi="Times New Roman" w:cs="Times New Roman"/>
          <w:sz w:val="24"/>
          <w:szCs w:val="24"/>
        </w:rPr>
        <w:t>ления Панинского муниципального района Воронежской области в филиале АУ «МФЦ» в Пани</w:t>
      </w:r>
      <w:r w:rsidRPr="008C2298">
        <w:rPr>
          <w:rFonts w:ascii="Times New Roman" w:hAnsi="Times New Roman" w:cs="Times New Roman"/>
          <w:sz w:val="24"/>
          <w:szCs w:val="24"/>
        </w:rPr>
        <w:t>н</w:t>
      </w:r>
      <w:r w:rsidRPr="008C2298">
        <w:rPr>
          <w:rFonts w:ascii="Times New Roman" w:hAnsi="Times New Roman" w:cs="Times New Roman"/>
          <w:sz w:val="24"/>
          <w:szCs w:val="24"/>
        </w:rPr>
        <w:t>ском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98">
        <w:rPr>
          <w:rFonts w:ascii="Times New Roman" w:hAnsi="Times New Roman" w:cs="Times New Roman"/>
          <w:sz w:val="24"/>
          <w:szCs w:val="24"/>
        </w:rPr>
        <w:t xml:space="preserve"> р.п. Панино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98">
        <w:rPr>
          <w:rFonts w:ascii="Times New Roman" w:hAnsi="Times New Roman" w:cs="Times New Roman"/>
          <w:sz w:val="24"/>
          <w:szCs w:val="24"/>
        </w:rPr>
        <w:t>Железнодорожная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2298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1A3F62" w:rsidRPr="001A3F62" w:rsidRDefault="001A3F62" w:rsidP="001A3F62">
      <w:pPr>
        <w:pStyle w:val="a4"/>
        <w:numPr>
          <w:ilvl w:val="0"/>
          <w:numId w:val="6"/>
        </w:numPr>
        <w:tabs>
          <w:tab w:val="right" w:pos="1020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62">
        <w:rPr>
          <w:rFonts w:ascii="Times New Roman" w:hAnsi="Times New Roman" w:cs="Times New Roman"/>
          <w:sz w:val="24"/>
          <w:szCs w:val="24"/>
        </w:rPr>
        <w:t>Утвердить технологическую схему предоставления муниципальной услуги «Признание п</w:t>
      </w:r>
      <w:r w:rsidRPr="001A3F62">
        <w:rPr>
          <w:rFonts w:ascii="Times New Roman" w:hAnsi="Times New Roman" w:cs="Times New Roman"/>
          <w:sz w:val="24"/>
          <w:szCs w:val="24"/>
        </w:rPr>
        <w:t>о</w:t>
      </w:r>
      <w:r w:rsidRPr="001A3F62">
        <w:rPr>
          <w:rFonts w:ascii="Times New Roman" w:hAnsi="Times New Roman" w:cs="Times New Roman"/>
          <w:sz w:val="24"/>
          <w:szCs w:val="24"/>
        </w:rPr>
        <w:t>мещения жилым помещением, жилого помещения непригодным для проживания и мног</w:t>
      </w:r>
      <w:r w:rsidRPr="001A3F62">
        <w:rPr>
          <w:rFonts w:ascii="Times New Roman" w:hAnsi="Times New Roman" w:cs="Times New Roman"/>
          <w:sz w:val="24"/>
          <w:szCs w:val="24"/>
        </w:rPr>
        <w:t>о</w:t>
      </w:r>
      <w:r w:rsidRPr="001A3F62">
        <w:rPr>
          <w:rFonts w:ascii="Times New Roman" w:hAnsi="Times New Roman" w:cs="Times New Roman"/>
          <w:sz w:val="24"/>
          <w:szCs w:val="24"/>
        </w:rPr>
        <w:t>квартирного дома  аварийным и подлежащим сносу и  реконструкции» согласно прилож</w:t>
      </w:r>
      <w:r w:rsidRPr="001A3F62">
        <w:rPr>
          <w:rFonts w:ascii="Times New Roman" w:hAnsi="Times New Roman" w:cs="Times New Roman"/>
          <w:sz w:val="24"/>
          <w:szCs w:val="24"/>
        </w:rPr>
        <w:t>е</w:t>
      </w:r>
      <w:r w:rsidRPr="001A3F62">
        <w:rPr>
          <w:rFonts w:ascii="Times New Roman" w:hAnsi="Times New Roman" w:cs="Times New Roman"/>
          <w:sz w:val="24"/>
          <w:szCs w:val="24"/>
        </w:rPr>
        <w:t>нию</w:t>
      </w:r>
      <w:r w:rsidRPr="001A3F62">
        <w:rPr>
          <w:rFonts w:ascii="Times New Roman" w:hAnsi="Times New Roman" w:cs="Times New Roman"/>
          <w:b/>
          <w:sz w:val="24"/>
          <w:szCs w:val="24"/>
        </w:rPr>
        <w:t>.</w:t>
      </w:r>
    </w:p>
    <w:p w:rsidR="001A3F62" w:rsidRPr="001A3F62" w:rsidRDefault="001A3F62" w:rsidP="001A3F62">
      <w:pPr>
        <w:tabs>
          <w:tab w:val="right" w:pos="1020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F62" w:rsidRPr="008C2298" w:rsidRDefault="001A3F62" w:rsidP="001A3F62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229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98">
        <w:rPr>
          <w:rFonts w:ascii="Times New Roman" w:hAnsi="Times New Roman" w:cs="Times New Roman"/>
          <w:sz w:val="24"/>
          <w:szCs w:val="24"/>
        </w:rPr>
        <w:t>Опубликовать технологическую схему предоставления муниципальной услуги «</w:t>
      </w:r>
      <w:r w:rsidRPr="001A3F62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</w:t>
      </w:r>
      <w:r w:rsidRPr="001A3F62">
        <w:rPr>
          <w:rFonts w:ascii="Times New Roman" w:hAnsi="Times New Roman" w:cs="Times New Roman"/>
          <w:sz w:val="24"/>
          <w:szCs w:val="24"/>
        </w:rPr>
        <w:t>р</w:t>
      </w:r>
      <w:r w:rsidRPr="001A3F62">
        <w:rPr>
          <w:rFonts w:ascii="Times New Roman" w:hAnsi="Times New Roman" w:cs="Times New Roman"/>
          <w:sz w:val="24"/>
          <w:szCs w:val="24"/>
        </w:rPr>
        <w:t xml:space="preserve">тирного дома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F62">
        <w:rPr>
          <w:rFonts w:ascii="Times New Roman" w:hAnsi="Times New Roman" w:cs="Times New Roman"/>
          <w:sz w:val="24"/>
          <w:szCs w:val="24"/>
        </w:rPr>
        <w:t>аварийным и подлежащим сносу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F62">
        <w:rPr>
          <w:rFonts w:ascii="Times New Roman" w:hAnsi="Times New Roman" w:cs="Times New Roman"/>
          <w:sz w:val="24"/>
          <w:szCs w:val="24"/>
        </w:rPr>
        <w:t xml:space="preserve"> реконструкции</w:t>
      </w:r>
      <w:r w:rsidRPr="008C2298">
        <w:rPr>
          <w:rFonts w:ascii="Times New Roman" w:hAnsi="Times New Roman" w:cs="Times New Roman"/>
          <w:sz w:val="24"/>
          <w:szCs w:val="24"/>
        </w:rPr>
        <w:t>» на официальном сайте админ</w:t>
      </w:r>
      <w:r w:rsidRPr="008C2298">
        <w:rPr>
          <w:rFonts w:ascii="Times New Roman" w:hAnsi="Times New Roman" w:cs="Times New Roman"/>
          <w:sz w:val="24"/>
          <w:szCs w:val="24"/>
        </w:rPr>
        <w:t>и</w:t>
      </w:r>
      <w:r w:rsidRPr="008C2298">
        <w:rPr>
          <w:rFonts w:ascii="Times New Roman" w:hAnsi="Times New Roman" w:cs="Times New Roman"/>
          <w:sz w:val="24"/>
          <w:szCs w:val="24"/>
        </w:rPr>
        <w:t xml:space="preserve">страции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8C2298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 сети Инте</w:t>
      </w:r>
      <w:r w:rsidRPr="008C2298">
        <w:rPr>
          <w:rFonts w:ascii="Times New Roman" w:hAnsi="Times New Roman" w:cs="Times New Roman"/>
          <w:sz w:val="24"/>
          <w:szCs w:val="24"/>
        </w:rPr>
        <w:t>р</w:t>
      </w:r>
      <w:r w:rsidRPr="008C2298">
        <w:rPr>
          <w:rFonts w:ascii="Times New Roman" w:hAnsi="Times New Roman" w:cs="Times New Roman"/>
          <w:sz w:val="24"/>
          <w:szCs w:val="24"/>
        </w:rPr>
        <w:t xml:space="preserve">нет. </w:t>
      </w:r>
    </w:p>
    <w:p w:rsidR="001A3F62" w:rsidRPr="008C2298" w:rsidRDefault="001A3F62" w:rsidP="001A3F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8C2298">
        <w:rPr>
          <w:rFonts w:ascii="Times New Roman" w:hAnsi="Times New Roman" w:cs="Times New Roman"/>
          <w:b w:val="0"/>
          <w:sz w:val="24"/>
          <w:szCs w:val="24"/>
        </w:rPr>
        <w:t xml:space="preserve"> 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8C2298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распоряжения оставляю за собой.</w:t>
      </w:r>
    </w:p>
    <w:p w:rsidR="001A3F62" w:rsidRPr="008C2298" w:rsidRDefault="001A3F62" w:rsidP="001A3F62">
      <w:pPr>
        <w:pStyle w:val="a4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1A3F62" w:rsidRPr="008C2298" w:rsidRDefault="001A3F62" w:rsidP="001A3F62">
      <w:pPr>
        <w:pStyle w:val="a5"/>
        <w:rPr>
          <w:rFonts w:ascii="Times New Roman" w:hAnsi="Times New Roman"/>
          <w:sz w:val="24"/>
          <w:szCs w:val="24"/>
        </w:rPr>
      </w:pPr>
    </w:p>
    <w:p w:rsidR="001A3F62" w:rsidRPr="008C2298" w:rsidRDefault="001A3F62" w:rsidP="001A3F6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C2298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Михайло</w:t>
      </w:r>
      <w:r w:rsidRPr="008C2298">
        <w:rPr>
          <w:rFonts w:ascii="Times New Roman" w:hAnsi="Times New Roman"/>
          <w:sz w:val="24"/>
          <w:szCs w:val="24"/>
        </w:rPr>
        <w:t>вского</w:t>
      </w:r>
    </w:p>
    <w:p w:rsidR="001A3F62" w:rsidRPr="008C2298" w:rsidRDefault="001A3F62" w:rsidP="001A3F62">
      <w:pPr>
        <w:pStyle w:val="a5"/>
        <w:rPr>
          <w:rFonts w:ascii="Times New Roman" w:hAnsi="Times New Roman"/>
          <w:b/>
          <w:sz w:val="24"/>
          <w:szCs w:val="24"/>
        </w:rPr>
      </w:pPr>
      <w:r w:rsidRPr="008C2298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</w:t>
      </w:r>
      <w:r>
        <w:rPr>
          <w:rFonts w:ascii="Times New Roman" w:hAnsi="Times New Roman"/>
          <w:sz w:val="24"/>
          <w:szCs w:val="24"/>
        </w:rPr>
        <w:t>В.И.Маслов</w:t>
      </w:r>
    </w:p>
    <w:p w:rsidR="001A3F62" w:rsidRDefault="001A3F6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1A3F62" w:rsidSect="001A3F6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A3F62" w:rsidRDefault="001A3F6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AF66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AF66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AF66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F66E3" w:rsidRDefault="00E6585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AF66E3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AF66E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F66E3" w:rsidRDefault="00AF66E3" w:rsidP="00DF72FE">
            <w:pPr>
              <w:pStyle w:val="ConsPlusNormal"/>
              <w:jc w:val="both"/>
            </w:pPr>
            <w:r>
              <w:t>П</w:t>
            </w:r>
            <w:r w:rsidR="00F61318" w:rsidRPr="00AF66E3">
              <w:t>ризнание помещения жилым помещением, жилого помещения непригодным для прож</w:t>
            </w:r>
            <w:r w:rsidR="00F61318" w:rsidRPr="00AF66E3">
              <w:t>и</w:t>
            </w:r>
            <w:r w:rsidR="00F61318" w:rsidRPr="00AF66E3">
              <w:t>вания и многоквартирного дома аварийным и подлежащим сносу и реконструкции»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F66E3" w:rsidRPr="00AF66E3" w:rsidRDefault="00AF66E3" w:rsidP="001A3F62">
            <w:pPr>
              <w:pStyle w:val="ConsPlusNormal"/>
              <w:jc w:val="both"/>
            </w:pPr>
            <w:r>
              <w:t>П</w:t>
            </w:r>
            <w:r w:rsidRPr="00AF66E3">
              <w:t>ризнание помещения жилым помещением, жилого помещения непригодным для прож</w:t>
            </w:r>
            <w:r w:rsidRPr="00AF66E3">
              <w:t>и</w:t>
            </w:r>
            <w:r w:rsidRPr="00AF66E3">
              <w:t>вания и многоквартирного дома аварийным и подлежащим сносу и реконструкции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AF66E3" w:rsidRPr="001A3F62" w:rsidRDefault="001A3F62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1A3F62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</w:t>
            </w:r>
          </w:p>
          <w:p w:rsidR="001A3F62" w:rsidRPr="001A3F62" w:rsidRDefault="001A3F62" w:rsidP="00C60D4B">
            <w:pPr>
              <w:rPr>
                <w:rFonts w:ascii="Times New Roman" w:hAnsi="Times New Roman" w:cs="Times New Roman"/>
              </w:rPr>
            </w:pPr>
            <w:r w:rsidRPr="001A3F62">
              <w:rPr>
                <w:rFonts w:ascii="Times New Roman" w:hAnsi="Times New Roman" w:cs="Times New Roman"/>
              </w:rPr>
              <w:t>«Признание помещения жилым помещением, жилого помещения непригодным для прож</w:t>
            </w:r>
            <w:r w:rsidRPr="001A3F62">
              <w:rPr>
                <w:rFonts w:ascii="Times New Roman" w:hAnsi="Times New Roman" w:cs="Times New Roman"/>
              </w:rPr>
              <w:t>и</w:t>
            </w:r>
            <w:r w:rsidRPr="001A3F62">
              <w:rPr>
                <w:rFonts w:ascii="Times New Roman" w:hAnsi="Times New Roman" w:cs="Times New Roman"/>
              </w:rPr>
              <w:t>вания и многоквартирного дома аварийным и подлежащим сносу и реконструкции</w:t>
            </w:r>
            <w:r>
              <w:rPr>
                <w:rFonts w:ascii="Times New Roman" w:hAnsi="Times New Roman" w:cs="Times New Roman"/>
              </w:rPr>
              <w:t>»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новление № 70  от 27.05.2016г.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  Признание помещения жилым помещением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2.  Признание жилого помещения непригодным для проживания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 Признание многоквартирного дома аварийным и подлежащим сносу и реконструкции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F66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083A57" w:rsidRPr="00AF66E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667"/>
        <w:gridCol w:w="1559"/>
        <w:gridCol w:w="1559"/>
        <w:gridCol w:w="1559"/>
        <w:gridCol w:w="1134"/>
        <w:gridCol w:w="993"/>
        <w:gridCol w:w="1135"/>
        <w:gridCol w:w="1134"/>
        <w:gridCol w:w="59"/>
        <w:gridCol w:w="1216"/>
        <w:gridCol w:w="1560"/>
        <w:gridCol w:w="1275"/>
      </w:tblGrid>
      <w:tr w:rsidR="00AF66E3" w:rsidRPr="00AF66E3" w:rsidTr="00AF66E3">
        <w:tc>
          <w:tcPr>
            <w:tcW w:w="3226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134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пр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остано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предо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«п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993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прио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тано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предо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«п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4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AF66E3" w:rsidRPr="00AF66E3" w:rsidTr="00562303">
        <w:tc>
          <w:tcPr>
            <w:tcW w:w="1667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по месту 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тельства (месту обр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AF66E3" w:rsidRPr="00AF66E3" w:rsidRDefault="00AF66E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Рекв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зиты НПА, явля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щегося 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нием для взим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пл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ты (гос. пошл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gridSpan w:val="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="00782AA5" w:rsidRPr="00AF66E3">
              <w:rPr>
                <w:rFonts w:ascii="Times New Roman" w:hAnsi="Times New Roman" w:cs="Times New Roman"/>
                <w:b/>
              </w:rPr>
              <w:t>Признание помещения жилым помещением</w:t>
            </w: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543F5B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ных дней 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</w:t>
            </w:r>
            <w:r w:rsidR="009800DE" w:rsidRPr="00AF66E3">
              <w:rPr>
                <w:rFonts w:ascii="Times New Roman" w:hAnsi="Times New Roman" w:cs="Times New Roman"/>
              </w:rPr>
              <w:t>тр</w:t>
            </w:r>
            <w:r w:rsidR="009800DE" w:rsidRPr="00AF66E3">
              <w:rPr>
                <w:rFonts w:ascii="Times New Roman" w:hAnsi="Times New Roman" w:cs="Times New Roman"/>
              </w:rPr>
              <w:t>а</w:t>
            </w:r>
            <w:r w:rsidR="009800DE" w:rsidRPr="00AF66E3">
              <w:rPr>
                <w:rFonts w:ascii="Times New Roman" w:hAnsi="Times New Roman" w:cs="Times New Roman"/>
              </w:rPr>
              <w:t>ции для прин</w:t>
            </w:r>
            <w:r w:rsidR="009800DE" w:rsidRPr="00AF66E3">
              <w:rPr>
                <w:rFonts w:ascii="Times New Roman" w:hAnsi="Times New Roman" w:cs="Times New Roman"/>
              </w:rPr>
              <w:t>я</w:t>
            </w:r>
            <w:r w:rsidR="009800DE"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ния), либо р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шения о пр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ведении д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9800DE" w:rsidRPr="00AF66E3" w:rsidRDefault="009800D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9800DE" w:rsidRPr="00AF66E3" w:rsidRDefault="009800DE" w:rsidP="009800D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ных дней с даты регис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рации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9800DE" w:rsidP="00980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(пре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заявителя);</w:t>
            </w:r>
          </w:p>
          <w:p w:rsidR="00BD28FA" w:rsidRPr="00AF66E3" w:rsidRDefault="00130EDA" w:rsidP="0013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lastRenderedPageBreak/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доставля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услугу;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он.портал 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суслуг</w:t>
            </w:r>
          </w:p>
        </w:tc>
        <w:tc>
          <w:tcPr>
            <w:tcW w:w="1275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суслуг;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он.портале госуслуг</w:t>
            </w:r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Pr="00AF66E3">
              <w:rPr>
                <w:rFonts w:ascii="Times New Roman" w:hAnsi="Times New Roman" w:cs="Times New Roman"/>
                <w:b/>
              </w:rPr>
              <w:t>Признание жилого помещения непригодным для проживания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ных дней 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ных дней с даты регис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рации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(пре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заявителя);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доставля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он.портал 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суслуг</w:t>
            </w:r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суслуг;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он.портале госуслуг</w:t>
            </w:r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782AA5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3. Наименование «подуслуги»: Признание многоквартирного дома </w:t>
            </w:r>
            <w:r w:rsidR="0023324A" w:rsidRPr="00AF66E3">
              <w:rPr>
                <w:rFonts w:ascii="Times New Roman" w:hAnsi="Times New Roman" w:cs="Times New Roman"/>
                <w:b/>
              </w:rPr>
              <w:t xml:space="preserve">аварийным и подлежащим 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сносу и </w:t>
            </w:r>
            <w:r w:rsidR="0023324A"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ных дней 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lastRenderedPageBreak/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ных дней с даты регис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рации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шения (в виде заключения), либо решения </w:t>
            </w:r>
            <w:r w:rsidRPr="00AF66E3">
              <w:rPr>
                <w:rFonts w:ascii="Times New Roman" w:hAnsi="Times New Roman" w:cs="Times New Roman"/>
              </w:rPr>
              <w:lastRenderedPageBreak/>
              <w:t>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(пре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заявителя);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3" w:type="dxa"/>
            <w:gridSpan w:val="2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доставля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 госуслуг;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он.портал 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суслуг</w:t>
            </w:r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lastRenderedPageBreak/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суслуг;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он.портале госуслуг</w:t>
            </w:r>
          </w:p>
        </w:tc>
      </w:tr>
    </w:tbl>
    <w:p w:rsidR="00C95E22" w:rsidRPr="00AF66E3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AF66E3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AF66E3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AF66E3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AF66E3" w:rsidRDefault="00505D72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4E7CAF" w:rsidRPr="00AF66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AF66E3">
              <w:rPr>
                <w:rFonts w:ascii="Times New Roman" w:hAnsi="Times New Roman" w:cs="Times New Roman"/>
                <w:b/>
              </w:rPr>
              <w:t>т</w:t>
            </w:r>
            <w:r w:rsidRPr="00AF66E3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ждающему прав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во</w:t>
            </w:r>
            <w:r w:rsidRPr="00AF66E3">
              <w:rPr>
                <w:rFonts w:ascii="Times New Roman" w:hAnsi="Times New Roman" w:cs="Times New Roman"/>
                <w:b/>
              </w:rPr>
              <w:t>з</w:t>
            </w:r>
            <w:r w:rsidRPr="00AF66E3">
              <w:rPr>
                <w:rFonts w:ascii="Times New Roman" w:hAnsi="Times New Roman" w:cs="Times New Roman"/>
                <w:b/>
              </w:rPr>
              <w:t>можности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дачи заявл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на пр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лями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Исчерпыва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к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кументу,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</w:p>
        </w:tc>
      </w:tr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D13CA5">
        <w:tc>
          <w:tcPr>
            <w:tcW w:w="15417" w:type="dxa"/>
            <w:gridSpan w:val="8"/>
          </w:tcPr>
          <w:p w:rsidR="00043FFA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5B415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</w:tbl>
    <w:tbl>
      <w:tblPr>
        <w:tblStyle w:val="11"/>
        <w:tblW w:w="15417" w:type="dxa"/>
        <w:tblLayout w:type="fixed"/>
        <w:tblLook w:val="04A0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иметь поврежд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на 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ренность может быть подписана также иным лицом, 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по доверенности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на 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 xml:space="preserve">ток, приписок, зачеркнутых слов и других исправлений. Не должен </w:t>
            </w:r>
            <w:r w:rsidRPr="00AF66E3">
              <w:rPr>
                <w:rFonts w:ascii="Times New Roman" w:hAnsi="Times New Roman" w:cs="Times New Roman"/>
              </w:rPr>
              <w:lastRenderedPageBreak/>
              <w:t>иметь повре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иметь поврежд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по доверенности.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3533BF" w:rsidRPr="00AF66E3" w:rsidRDefault="00317545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  <w:r w:rsidR="003533BF" w:rsidRPr="00AF66E3">
              <w:rPr>
                <w:rFonts w:ascii="Times New Roman" w:hAnsi="Times New Roman" w:cs="Times New Roman"/>
                <w:b/>
              </w:rPr>
              <w:t xml:space="preserve">. Наименование «подуслуги»: </w:t>
            </w:r>
            <w:r w:rsidRPr="00AF66E3">
              <w:rPr>
                <w:rFonts w:ascii="Times New Roman" w:hAnsi="Times New Roman" w:cs="Times New Roman"/>
                <w:b/>
              </w:rPr>
              <w:t>Признание жилого помещения непригодным для проживания</w:t>
            </w:r>
          </w:p>
        </w:tc>
      </w:tr>
    </w:tbl>
    <w:tbl>
      <w:tblPr>
        <w:tblStyle w:val="11"/>
        <w:tblW w:w="15417" w:type="dxa"/>
        <w:tblLayout w:type="fixed"/>
        <w:tblLook w:val="04A0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иметь поврежд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на 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по доверенности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ренностью.  Доверенность должна быть действующей </w:t>
            </w:r>
            <w:r w:rsidRPr="00AF66E3">
              <w:rPr>
                <w:rFonts w:ascii="Times New Roman" w:hAnsi="Times New Roman" w:cs="Times New Roman"/>
              </w:rPr>
              <w:lastRenderedPageBreak/>
              <w:t>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на 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 xml:space="preserve">нутых слов и других </w:t>
            </w:r>
            <w:r w:rsidRPr="00AF66E3">
              <w:rPr>
                <w:rFonts w:ascii="Times New Roman" w:hAnsi="Times New Roman" w:cs="Times New Roman"/>
              </w:rPr>
              <w:lastRenderedPageBreak/>
              <w:t>исправлений.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иметь поврежд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 xml:space="preserve">ного на это. </w:t>
            </w:r>
            <w:r w:rsidRPr="00AF66E3">
              <w:rPr>
                <w:rFonts w:ascii="Times New Roman" w:hAnsi="Times New Roman" w:cs="Times New Roman"/>
              </w:rPr>
              <w:lastRenderedPageBreak/>
              <w:t>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по доверенности.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D00725" w:rsidRPr="00AF66E3" w:rsidRDefault="00D00725" w:rsidP="00D007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«подуслуги»: Признание многоквартирного дома аварийным и подлежащим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 сносу и </w:t>
            </w:r>
            <w:r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</w:tbl>
    <w:tbl>
      <w:tblPr>
        <w:tblStyle w:val="11"/>
        <w:tblW w:w="15417" w:type="dxa"/>
        <w:tblLayout w:type="fixed"/>
        <w:tblLook w:val="04A0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иметь поврежд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на 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 xml:space="preserve">дений, наличие которых не </w:t>
            </w:r>
            <w:r w:rsidRPr="00AF66E3">
              <w:rPr>
                <w:rFonts w:ascii="Times New Roman" w:hAnsi="Times New Roman" w:cs="Times New Roman"/>
              </w:rPr>
              <w:lastRenderedPageBreak/>
              <w:t>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по доверенности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ренности действовать от </w:t>
            </w:r>
            <w:r w:rsidRPr="00AF66E3">
              <w:rPr>
                <w:rFonts w:ascii="Times New Roman" w:hAnsi="Times New Roman" w:cs="Times New Roman"/>
              </w:rPr>
              <w:lastRenderedPageBreak/>
              <w:t>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должна быть заверена </w:t>
            </w:r>
            <w:r w:rsidRPr="00AF66E3">
              <w:rPr>
                <w:rFonts w:ascii="Times New Roman" w:hAnsi="Times New Roman" w:cs="Times New Roman"/>
              </w:rPr>
              <w:lastRenderedPageBreak/>
              <w:t>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на 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lastRenderedPageBreak/>
              <w:t>нии доверенности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 xml:space="preserve">ным на срок </w:t>
            </w:r>
            <w:r w:rsidRPr="00AF66E3">
              <w:rPr>
                <w:rFonts w:ascii="Times New Roman" w:hAnsi="Times New Roman" w:cs="Times New Roman"/>
              </w:rPr>
              <w:lastRenderedPageBreak/>
              <w:t>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B61D7E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иметь поврежд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AF66E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="00AF66E3">
              <w:rPr>
                <w:rFonts w:ascii="Times New Roman" w:hAnsi="Times New Roman" w:cs="Times New Roman"/>
              </w:rPr>
              <w:t xml:space="preserve">ного на это, </w:t>
            </w:r>
            <w:r w:rsidRPr="00AF66E3">
              <w:rPr>
                <w:rFonts w:ascii="Times New Roman" w:hAnsi="Times New Roman" w:cs="Times New Roman"/>
              </w:rPr>
              <w:t>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по доверенности.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ренность, в которой не </w:t>
            </w:r>
            <w:r w:rsidRPr="00AF66E3">
              <w:rPr>
                <w:rFonts w:ascii="Times New Roman" w:hAnsi="Times New Roman" w:cs="Times New Roman"/>
              </w:rPr>
              <w:lastRenderedPageBreak/>
              <w:t>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ствительна в течение </w:t>
            </w:r>
            <w:r w:rsidR="00AF66E3">
              <w:rPr>
                <w:rFonts w:ascii="Times New Roman" w:hAnsi="Times New Roman" w:cs="Times New Roman"/>
              </w:rPr>
              <w:t>1</w:t>
            </w:r>
            <w:r w:rsidRPr="00AF66E3">
              <w:rPr>
                <w:rFonts w:ascii="Times New Roman" w:hAnsi="Times New Roman" w:cs="Times New Roman"/>
              </w:rPr>
              <w:t xml:space="preserve"> года с момента ее выдачи).</w:t>
            </w:r>
          </w:p>
        </w:tc>
      </w:tr>
    </w:tbl>
    <w:p w:rsidR="008A60E5" w:rsidRPr="00AF66E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lastRenderedPageBreak/>
        <w:br w:type="page"/>
      </w:r>
    </w:p>
    <w:p w:rsidR="00043FFA" w:rsidRPr="00AF66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4"/>
        <w:gridCol w:w="1842"/>
        <w:gridCol w:w="1701"/>
      </w:tblGrid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AF66E3">
              <w:rPr>
                <w:rFonts w:ascii="Times New Roman" w:hAnsi="Times New Roman" w:cs="Times New Roman"/>
                <w:b/>
              </w:rPr>
              <w:t>я</w:t>
            </w:r>
            <w:r w:rsidRPr="00AF66E3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</w:t>
            </w:r>
            <w:r w:rsidR="00043FFA" w:rsidRPr="00AF66E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Количество 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обходимых э</w:t>
            </w:r>
            <w:r w:rsidRPr="00AF66E3">
              <w:rPr>
                <w:rFonts w:ascii="Times New Roman" w:hAnsi="Times New Roman" w:cs="Times New Roman"/>
                <w:b/>
              </w:rPr>
              <w:t>к</w:t>
            </w:r>
            <w:r w:rsidRPr="00AF66E3">
              <w:rPr>
                <w:rFonts w:ascii="Times New Roman" w:hAnsi="Times New Roman" w:cs="Times New Roman"/>
                <w:b/>
              </w:rPr>
              <w:t>земпляров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 с ук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AF66E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4" w:type="dxa"/>
          </w:tcPr>
          <w:p w:rsidR="00682329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 документу</w:t>
            </w:r>
            <w:r w:rsidR="00AF66E3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2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(ша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лон) документа</w:t>
            </w:r>
            <w:r w:rsidR="00AF66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AF66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FB67BA">
        <w:tc>
          <w:tcPr>
            <w:tcW w:w="15417" w:type="dxa"/>
            <w:gridSpan w:val="8"/>
          </w:tcPr>
          <w:p w:rsidR="00043FFA" w:rsidRPr="00AF66E3" w:rsidRDefault="0032517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043FFA" w:rsidRPr="00AF66E3" w:rsidRDefault="00A9325B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043FFA" w:rsidRPr="00AF66E3" w:rsidRDefault="00A9325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043FFA" w:rsidRPr="00AF66E3" w:rsidRDefault="00AF66E3" w:rsidP="00A9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043FFA" w:rsidRPr="00AF66E3" w:rsidRDefault="00AF66E3" w:rsidP="00A9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случае, если право не зарегистрировано в Едином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венном реестре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</w:t>
            </w:r>
          </w:p>
        </w:tc>
        <w:tc>
          <w:tcPr>
            <w:tcW w:w="2694" w:type="dxa"/>
          </w:tcPr>
          <w:p w:rsidR="00CF14D8" w:rsidRPr="00AF66E3" w:rsidRDefault="00CF14D8" w:rsidP="00E62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конструкции нежилого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</w:t>
            </w:r>
          </w:p>
        </w:tc>
        <w:tc>
          <w:tcPr>
            <w:tcW w:w="2835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реконструкции н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жилого помещения</w:t>
            </w: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CF14D8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B15E34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lastRenderedPageBreak/>
              <w:t>дающих и несущих конс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рукций жилого помещения</w:t>
            </w:r>
          </w:p>
        </w:tc>
        <w:tc>
          <w:tcPr>
            <w:tcW w:w="1842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случае,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вержденного Пост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стоящем Положении требованиям</w:t>
            </w:r>
          </w:p>
        </w:tc>
        <w:tc>
          <w:tcPr>
            <w:tcW w:w="269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4850B3" w:rsidRPr="00AF66E3" w:rsidRDefault="004850B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1842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</w:t>
            </w:r>
            <w:r w:rsidR="00C01DEF" w:rsidRPr="00AF6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533BF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2. Наименование «подуслуги»: Признание жилого помещения непригодным для проживания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E83F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ции, контактный телефон (телефон указывается по желанию). Заявление </w:t>
            </w:r>
            <w:r w:rsidRPr="00AF66E3">
              <w:rPr>
                <w:rFonts w:ascii="Times New Roman" w:hAnsi="Times New Roman" w:cs="Times New Roman"/>
              </w:rPr>
              <w:lastRenderedPageBreak/>
              <w:t>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CF14D8" w:rsidRPr="00AF66E3" w:rsidRDefault="00AF66E3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701" w:type="dxa"/>
          </w:tcPr>
          <w:p w:rsidR="00CF14D8" w:rsidRPr="00AF66E3" w:rsidRDefault="00AF66E3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4" w:type="dxa"/>
          </w:tcPr>
          <w:p w:rsidR="009E1470" w:rsidRPr="00AF66E3" w:rsidRDefault="009E1470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случае, если право не зарегистрировано в Едином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венном реестре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</w:t>
            </w:r>
          </w:p>
        </w:tc>
        <w:tc>
          <w:tcPr>
            <w:tcW w:w="2694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9E1470" w:rsidRPr="00AF66E3" w:rsidRDefault="009E1470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конс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рукций жилого помещения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9E1470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случае,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вержденного Пост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стоящем Положении требованиям</w:t>
            </w:r>
          </w:p>
        </w:tc>
        <w:tc>
          <w:tcPr>
            <w:tcW w:w="2694" w:type="dxa"/>
          </w:tcPr>
          <w:p w:rsidR="009E1470" w:rsidRPr="00AF66E3" w:rsidRDefault="009E1470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F61318" w:rsidRPr="00AF66E3" w:rsidRDefault="00F61318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1842" w:type="dxa"/>
          </w:tcPr>
          <w:p w:rsidR="00F61318" w:rsidRPr="00AF66E3" w:rsidRDefault="00F61318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25179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«подуслуги»: Признание многоквартирного дома аварийным и подлежащим</w:t>
            </w:r>
            <w:r w:rsidR="004337BB" w:rsidRPr="00AF66E3">
              <w:rPr>
                <w:rFonts w:ascii="Times New Roman" w:hAnsi="Times New Roman" w:cs="Times New Roman"/>
                <w:b/>
              </w:rPr>
              <w:t xml:space="preserve"> сносу и</w:t>
            </w:r>
            <w:r w:rsidRPr="00AF66E3">
              <w:rPr>
                <w:rFonts w:ascii="Times New Roman" w:hAnsi="Times New Roman" w:cs="Times New Roman"/>
                <w:b/>
              </w:rPr>
              <w:t xml:space="preserve"> реконструкции</w:t>
            </w:r>
          </w:p>
        </w:tc>
      </w:tr>
      <w:tr w:rsidR="00AF66E3" w:rsidRPr="00AF66E3" w:rsidTr="00855449">
        <w:trPr>
          <w:trHeight w:val="2688"/>
        </w:trPr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325179" w:rsidRPr="00AF66E3" w:rsidRDefault="00AF66E3" w:rsidP="0043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325179" w:rsidRPr="00AF66E3" w:rsidRDefault="00AF66E3" w:rsidP="0043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4337BB"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32517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специализир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ванной организации,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водившей обследование многоквартирного дома</w:t>
            </w:r>
          </w:p>
        </w:tc>
        <w:tc>
          <w:tcPr>
            <w:tcW w:w="1842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1экз.</w:t>
            </w:r>
          </w:p>
        </w:tc>
        <w:tc>
          <w:tcPr>
            <w:tcW w:w="2268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конс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рукций жилого помещения</w:t>
            </w:r>
          </w:p>
        </w:tc>
        <w:tc>
          <w:tcPr>
            <w:tcW w:w="1842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случае,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вержденного Пост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lastRenderedPageBreak/>
              <w:t>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стоящем Положении требованиям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0F362A" w:rsidRPr="00AF66E3" w:rsidTr="00855449">
        <w:tc>
          <w:tcPr>
            <w:tcW w:w="651" w:type="dxa"/>
          </w:tcPr>
          <w:p w:rsidR="000F362A" w:rsidRPr="00AF66E3" w:rsidRDefault="000F362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1842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F362A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</w:tbl>
    <w:p w:rsidR="00A87EF7" w:rsidRPr="00AF66E3" w:rsidRDefault="00A87EF7" w:rsidP="00DF72FE">
      <w:pPr>
        <w:rPr>
          <w:rFonts w:ascii="Times New Roman" w:hAnsi="Times New Roman" w:cs="Times New Roman"/>
          <w:b/>
        </w:rPr>
      </w:pPr>
    </w:p>
    <w:p w:rsidR="00D31907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F66E3" w:rsidRPr="00AF66E3" w:rsidTr="00843A61">
        <w:tc>
          <w:tcPr>
            <w:tcW w:w="1668" w:type="dxa"/>
          </w:tcPr>
          <w:p w:rsidR="00AF66E3" w:rsidRPr="00BD0FB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AF66E3" w:rsidRPr="00AF66E3" w:rsidTr="00843A61">
        <w:tc>
          <w:tcPr>
            <w:tcW w:w="16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843A61">
        <w:tc>
          <w:tcPr>
            <w:tcW w:w="15538" w:type="dxa"/>
            <w:gridSpan w:val="9"/>
          </w:tcPr>
          <w:p w:rsidR="00D31907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BF2B5F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реестра по Вор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lastRenderedPageBreak/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(не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ветствующим) 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тановленным в 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62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(контр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F61318">
        <w:tc>
          <w:tcPr>
            <w:tcW w:w="15538" w:type="dxa"/>
            <w:gridSpan w:val="9"/>
          </w:tcPr>
          <w:p w:rsidR="00AF66E3" w:rsidRPr="00AF66E3" w:rsidRDefault="00AF66E3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«подуслуги»: Признание жилого помещения непригодным для проживания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реестра по Вор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(не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ветствующим) 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тановленным в 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(контр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F4543D">
        <w:tc>
          <w:tcPr>
            <w:tcW w:w="15538" w:type="dxa"/>
            <w:gridSpan w:val="9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реестра по Вор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 xml:space="preserve">вии с абзацем третьим пункта 44 </w:t>
            </w:r>
            <w:r w:rsidRPr="00AF66E3">
              <w:rPr>
                <w:rFonts w:ascii="Times New Roman" w:hAnsi="Times New Roman" w:cs="Times New Roman"/>
              </w:rPr>
              <w:lastRenderedPageBreak/>
              <w:t>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(не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ветствующим) 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тановленным в 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(контр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AF66E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AF66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F66E3" w:rsidRDefault="0084228F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4F2A4B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F66E3" w:rsidRPr="00AF66E3" w:rsidTr="008202EC">
        <w:tc>
          <w:tcPr>
            <w:tcW w:w="534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зультатом «поду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луги»</w:t>
            </w:r>
            <w:r w:rsidR="0062005A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Характерист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отрицател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мента/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ментов, я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кумента/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лем результатов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F66E3" w:rsidRPr="00AF66E3" w:rsidTr="008202EC">
        <w:tc>
          <w:tcPr>
            <w:tcW w:w="534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F66E3" w:rsidRPr="00AF66E3" w:rsidTr="008202EC">
        <w:tc>
          <w:tcPr>
            <w:tcW w:w="534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E3767E">
        <w:tc>
          <w:tcPr>
            <w:tcW w:w="15538" w:type="dxa"/>
            <w:gridSpan w:val="9"/>
          </w:tcPr>
          <w:p w:rsidR="004F2A4B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AF66E3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6B11E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(в виде заключ</w:t>
            </w:r>
            <w:r w:rsidRPr="00AF66E3">
              <w:t>е</w:t>
            </w:r>
            <w:r w:rsidRPr="00AF66E3">
              <w:t>ния) о признании помещения жилым помещением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он.портале 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C8214E">
            <w:pPr>
              <w:pStyle w:val="ConsPlusNormal"/>
              <w:jc w:val="center"/>
            </w:pPr>
            <w:r w:rsidRPr="00AF66E3">
              <w:t>Решение о мотивированном отказе в предоставлении у</w:t>
            </w:r>
            <w:r w:rsidRPr="00AF66E3">
              <w:t>с</w:t>
            </w:r>
            <w:r w:rsidRPr="00AF66E3">
              <w:t>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он.портале 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9477FB">
        <w:tc>
          <w:tcPr>
            <w:tcW w:w="15538" w:type="dxa"/>
            <w:gridSpan w:val="9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«подуслуги»: Признание жилого помещения непригодным для проживания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признании жил</w:t>
            </w:r>
            <w:r w:rsidRPr="00AF66E3">
              <w:t>о</w:t>
            </w:r>
            <w:r w:rsidRPr="00AF66E3">
              <w:t>го помещения пригодным (непригодным) для прож</w:t>
            </w:r>
            <w:r w:rsidRPr="00AF66E3">
              <w:t>и</w:t>
            </w:r>
            <w:r w:rsidRPr="00AF66E3">
              <w:t xml:space="preserve">вания граждан 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он.портале 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</w:t>
            </w:r>
            <w:r w:rsidRPr="00AF66E3">
              <w:t>с</w:t>
            </w:r>
            <w:r w:rsidRPr="00AF66E3">
              <w:t>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он.портале 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F4543D">
        <w:tc>
          <w:tcPr>
            <w:tcW w:w="15538" w:type="dxa"/>
            <w:gridSpan w:val="9"/>
          </w:tcPr>
          <w:p w:rsidR="0062005A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6F4A07">
            <w:pPr>
              <w:pStyle w:val="ConsPlusNormal"/>
              <w:jc w:val="both"/>
            </w:pPr>
            <w:r w:rsidRPr="00AF66E3">
              <w:t>Решение о признании мн</w:t>
            </w:r>
            <w:r w:rsidRPr="00AF66E3">
              <w:t>о</w:t>
            </w:r>
            <w:r w:rsidRPr="00AF66E3">
              <w:t>гоквартирного дома авари</w:t>
            </w:r>
            <w:r w:rsidRPr="00AF66E3">
              <w:t>й</w:t>
            </w:r>
            <w:r w:rsidRPr="00AF66E3">
              <w:t>ным и подлежащим сносу или реконструкции и изд</w:t>
            </w:r>
            <w:r w:rsidRPr="00AF66E3">
              <w:t>а</w:t>
            </w:r>
            <w:r w:rsidRPr="00AF66E3">
              <w:t>ние распоряжения админ</w:t>
            </w:r>
            <w:r w:rsidRPr="00AF66E3">
              <w:t>и</w:t>
            </w:r>
            <w:r w:rsidRPr="00AF66E3">
              <w:t>страцией с указанием о дальнейшем использовании помещения, сроках отсел</w:t>
            </w:r>
            <w:r w:rsidRPr="00AF66E3">
              <w:t>е</w:t>
            </w:r>
            <w:r w:rsidRPr="00AF66E3">
              <w:t>ния физических и юридич</w:t>
            </w:r>
            <w:r w:rsidRPr="00AF66E3">
              <w:t>е</w:t>
            </w:r>
            <w:r w:rsidRPr="00AF66E3">
              <w:t xml:space="preserve">ских лиц в случае признания </w:t>
            </w:r>
            <w:r w:rsidRPr="00AF66E3">
              <w:lastRenderedPageBreak/>
              <w:t>дома аварийным и подлеж</w:t>
            </w:r>
            <w:r w:rsidRPr="00AF66E3">
              <w:t>а</w:t>
            </w:r>
            <w:r w:rsidRPr="00AF66E3">
              <w:t>щим сносу или реконстру</w:t>
            </w:r>
            <w:r w:rsidRPr="00AF66E3">
              <w:t>к</w:t>
            </w:r>
            <w:r w:rsidRPr="00AF66E3">
              <w:t>ции или о признании нео</w:t>
            </w:r>
            <w:r w:rsidRPr="00AF66E3">
              <w:t>б</w:t>
            </w:r>
            <w:r w:rsidRPr="00AF66E3">
              <w:t>ходимости проведения р</w:t>
            </w:r>
            <w:r w:rsidRPr="00AF66E3">
              <w:t>е</w:t>
            </w:r>
            <w:r w:rsidRPr="00AF66E3">
              <w:t>монтно-восстановительных работ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lastRenderedPageBreak/>
              <w:t>тале госуслуг;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он.портале 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</w:t>
            </w:r>
            <w:r w:rsidRPr="00AF66E3">
              <w:t>с</w:t>
            </w:r>
            <w:r w:rsidRPr="00AF66E3">
              <w:t>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он.портале 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AF66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F66E3" w:rsidRDefault="0084228F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A83585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41"/>
        <w:gridCol w:w="34"/>
        <w:gridCol w:w="2410"/>
        <w:gridCol w:w="3544"/>
        <w:gridCol w:w="1985"/>
        <w:gridCol w:w="2126"/>
        <w:gridCol w:w="2126"/>
        <w:gridCol w:w="2267"/>
      </w:tblGrid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Особенности исполнения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Сроки исполн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Исполнитель пр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Ресурсы, необх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димые для выпо</w:t>
            </w:r>
            <w:r w:rsidRPr="00AF66E3">
              <w:rPr>
                <w:rFonts w:ascii="Times New Roman" w:hAnsi="Times New Roman" w:cs="Times New Roman"/>
                <w:b/>
              </w:rPr>
              <w:t>л</w:t>
            </w:r>
            <w:r w:rsidRPr="00AF66E3">
              <w:rPr>
                <w:rFonts w:ascii="Times New Roman" w:hAnsi="Times New Roman" w:cs="Times New Roman"/>
                <w:b/>
              </w:rPr>
              <w:t>нения процедуры процесса</w:t>
            </w:r>
            <w:r w:rsidR="0062005A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267" w:type="dxa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7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A83585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AF66E3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6F4A07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E3767E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AF66E3">
              <w:rPr>
                <w:rFonts w:ascii="Times New Roman" w:hAnsi="Times New Roman" w:cs="Times New Roman"/>
                <w:b/>
              </w:rPr>
              <w:t>Наименован</w:t>
            </w:r>
            <w:r w:rsidR="006F4A07" w:rsidRPr="00AF66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AF66E3">
              <w:rPr>
                <w:rFonts w:ascii="Times New Roman" w:hAnsi="Times New Roman" w:cs="Times New Roman"/>
                <w:b/>
              </w:rPr>
              <w:t>:</w:t>
            </w:r>
            <w:r w:rsidR="00F4543D"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чисток, приписок, зачеркнутых слов и иных неоговоренных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 xml:space="preserve">правлений; документы не имеют </w:t>
            </w:r>
            <w:r w:rsidRPr="00AF66E3">
              <w:rPr>
                <w:rFonts w:ascii="Times New Roman" w:hAnsi="Times New Roman" w:cs="Times New Roman"/>
              </w:rPr>
              <w:lastRenderedPageBreak/>
              <w:t>серьезных повреждений, наличие которых не позволяет однозначно истолковать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rPr>
          <w:trHeight w:val="1695"/>
        </w:trPr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межведомс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взаимодейс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544" w:type="dxa"/>
          </w:tcPr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получает необходимые документы;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вии помещения требованиям, предъявляемым к жилому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щению, и его пригодности для проживания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657317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04D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430EE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тавлении муниципал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544" w:type="dxa"/>
          </w:tcPr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</w:t>
            </w:r>
          </w:p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2. Наименование «подуслуги»: Признание жилого помещения непригодным для проживания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791164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щения, устанавливается личность </w:t>
            </w:r>
            <w:r w:rsidRPr="00AF66E3">
              <w:rPr>
                <w:rFonts w:ascii="Times New Roman" w:hAnsi="Times New Roman" w:cs="Times New Roman"/>
              </w:rPr>
              <w:lastRenderedPageBreak/>
              <w:t>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чисток, приписок, зачеркнутых слов и иных неоговоренных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 xml:space="preserve">ственный за прием </w:t>
            </w:r>
            <w:r w:rsidRPr="00AF66E3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межведомс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взаимодейс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получает необходимые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проживания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75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0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тавлении муниципал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544" w:type="dxa"/>
          </w:tcPr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</w:t>
            </w:r>
          </w:p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ны, скреплены печатями, имеют </w:t>
            </w:r>
            <w:r w:rsidRPr="00AF66E3">
              <w:rPr>
                <w:rFonts w:ascii="Times New Roman" w:hAnsi="Times New Roman" w:cs="Times New Roman"/>
              </w:rPr>
              <w:lastRenderedPageBreak/>
              <w:t>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чисток, приписок, зачеркнутых слов и иных неоговоренных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72498C" w:rsidP="0072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межведомс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взаимодейс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 xml:space="preserve">тронного взаимодействия получает </w:t>
            </w:r>
            <w:r w:rsidRPr="00AF66E3">
              <w:rPr>
                <w:rFonts w:ascii="Times New Roman" w:hAnsi="Times New Roman" w:cs="Times New Roman"/>
              </w:rPr>
              <w:lastRenderedPageBreak/>
              <w:t>необходимые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подлежащим капитальному ремонту, реконструкции или пер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планировке (при необходимости с технико-экономическим обоснов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нием) с целью приведения утр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ченных в процессе эксплуатации характеристик жилого помещения в соответствие с требованиями Положения или о выявлении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ваний для признания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реконструкции или о в</w:t>
            </w:r>
            <w:r w:rsidRPr="00AF66E3">
              <w:rPr>
                <w:rFonts w:ascii="Times New Roman" w:hAnsi="Times New Roman" w:cs="Times New Roman"/>
              </w:rPr>
              <w:t>ы</w:t>
            </w:r>
            <w:r w:rsidRPr="00AF66E3">
              <w:rPr>
                <w:rFonts w:ascii="Times New Roman" w:hAnsi="Times New Roman" w:cs="Times New Roman"/>
              </w:rPr>
              <w:t>явлении оснований для признания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ным и подлежащим сносу 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процедуры:Подготовка и издание распоряжения органа местного самоуправления о сроках отселения физич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сроках отселения физических и юрид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ческих лиц в случае признания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подлежащим сносу или реконстру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ции или о 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дения ремонтно-восстановительных работ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сроков отселения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ских лиц в случае признания дома аварийным и подлежащим сносу 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готовит проект распоряжения администрации с указанием ср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ков отселения физических и юр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дических лиц в случае признания дома аварийным и подлежащим сносу или реконструкции или о </w:t>
            </w:r>
            <w:r w:rsidRPr="00AF66E3">
              <w:rPr>
                <w:rFonts w:ascii="Times New Roman" w:hAnsi="Times New Roman" w:cs="Times New Roman"/>
              </w:rPr>
              <w:lastRenderedPageBreak/>
              <w:t>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дения ремонтно-восстановительных работлибо уведомление о мотивированном отказе в предоставлении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сроков 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ских лиц в случае признания дома аварийным и подлежащим сносу 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 либо уведомления о мотивир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5F681A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процедуры:Выдача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тавлении муниципал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544" w:type="dxa"/>
          </w:tcPr>
          <w:p w:rsidR="0062005A" w:rsidRPr="00AF66E3" w:rsidRDefault="0062005A" w:rsidP="00F9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заявителю, а также в 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чае признания жилого помещения непригодным для проживания и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конструкции - в орган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жилищного надзора (м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ниципального жилищного контр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 xml:space="preserve">ля) по месту нахождения такого </w:t>
            </w:r>
            <w:r w:rsidRPr="00AF66E3">
              <w:rPr>
                <w:rFonts w:ascii="Times New Roman" w:hAnsi="Times New Roman" w:cs="Times New Roman"/>
              </w:rPr>
              <w:lastRenderedPageBreak/>
              <w:t>помещения или домалибо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AF66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F66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4E7B41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418" w:type="dxa"/>
        <w:tblLayout w:type="fixed"/>
        <w:tblLook w:val="04A0"/>
      </w:tblPr>
      <w:tblGrid>
        <w:gridCol w:w="2802"/>
        <w:gridCol w:w="1275"/>
        <w:gridCol w:w="1349"/>
        <w:gridCol w:w="2337"/>
        <w:gridCol w:w="1843"/>
        <w:gridCol w:w="2693"/>
        <w:gridCol w:w="3119"/>
      </w:tblGrid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заяв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телем информации о сроках и порядке предо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тавления «под</w:t>
            </w:r>
            <w:bookmarkStart w:id="1" w:name="_GoBack"/>
            <w:bookmarkEnd w:id="1"/>
            <w:r w:rsidRPr="00AF66E3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тавлении «подусл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34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формир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з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лении «п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337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приема и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гистрации органом, предоставляющим услугу, запроса о предоставлении «п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дуслуги» и иных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кументов, необход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мых для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«подуслуги»</w:t>
            </w:r>
          </w:p>
        </w:tc>
        <w:tc>
          <w:tcPr>
            <w:tcW w:w="1843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ние «подусл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ством Росси</w:t>
            </w:r>
            <w:r w:rsidRPr="00AF66E3">
              <w:rPr>
                <w:rFonts w:ascii="Times New Roman" w:hAnsi="Times New Roman" w:cs="Times New Roman"/>
                <w:b/>
              </w:rPr>
              <w:t>й</w:t>
            </w:r>
            <w:r w:rsidRPr="00AF66E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693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св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дений о ходе выполн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запроса о предо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тавлении «подуслуги»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37" w:type="dxa"/>
          </w:tcPr>
          <w:p w:rsidR="009A473A" w:rsidRPr="00AF66E3" w:rsidRDefault="009A473A" w:rsidP="00F61318">
            <w:pPr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444A85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венных услуг</w:t>
            </w:r>
          </w:p>
        </w:tc>
        <w:tc>
          <w:tcPr>
            <w:tcW w:w="311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444A85" w:rsidP="009A473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  <w:r w:rsidR="009A473A" w:rsidRPr="00AF66E3">
              <w:rPr>
                <w:rFonts w:ascii="Times New Roman" w:hAnsi="Times New Roman" w:cs="Times New Roman"/>
                <w:b/>
              </w:rPr>
              <w:t>. Наименование «подусл</w:t>
            </w:r>
            <w:r w:rsidRPr="00AF66E3">
              <w:rPr>
                <w:rFonts w:ascii="Times New Roman" w:hAnsi="Times New Roman" w:cs="Times New Roman"/>
                <w:b/>
              </w:rPr>
              <w:t>уги»</w:t>
            </w:r>
            <w:r w:rsidR="009A473A" w:rsidRPr="00AF66E3">
              <w:rPr>
                <w:rFonts w:ascii="Times New Roman" w:hAnsi="Times New Roman" w:cs="Times New Roman"/>
                <w:b/>
              </w:rPr>
              <w:t>:</w:t>
            </w:r>
            <w:r w:rsidRPr="00AF66E3">
              <w:rPr>
                <w:rFonts w:ascii="Times New Roman" w:hAnsi="Times New Roman" w:cs="Times New Roman"/>
                <w:b/>
              </w:rPr>
              <w:t xml:space="preserve"> Признание жилого помещения непригодным для проживания</w:t>
            </w:r>
          </w:p>
        </w:tc>
      </w:tr>
      <w:tr w:rsidR="00AF66E3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444A85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A83585" w:rsidRPr="00AF66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Перечень приложений:</w:t>
      </w:r>
    </w:p>
    <w:p w:rsidR="00883DB0" w:rsidRPr="00AF66E3" w:rsidRDefault="001E76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Приложение 1 (форма расписки</w:t>
      </w:r>
      <w:r w:rsidR="00883DB0" w:rsidRPr="00AF66E3">
        <w:rPr>
          <w:rFonts w:ascii="Times New Roman" w:hAnsi="Times New Roman" w:cs="Times New Roman"/>
        </w:rPr>
        <w:t>)</w:t>
      </w: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F66E3" w:rsidSect="001A3F6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775FB" w:rsidRPr="00AF66E3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F97C97" w:rsidRPr="00AF66E3" w:rsidRDefault="00F97C97" w:rsidP="00F97C97">
      <w:pPr>
        <w:jc w:val="both"/>
        <w:rPr>
          <w:rFonts w:ascii="Times New Roman" w:hAnsi="Times New Roman" w:cs="Times New Roman"/>
        </w:rPr>
      </w:pP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РАСПИСКА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о подготовке, утверждении и выдаче градостроительного плана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земельного участка, расположенного на территории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__________________________сельского поселения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(фамилия, имя, отчество)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ab/>
      </w:r>
      <w:r w:rsidRPr="00AF66E3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подготовке, утверждении и выдаче градостроительного плана земельного участка, расположенного на территории __________________________________ сельского поселения (согласно п. 2.6.1 настоящего адм</w:t>
      </w:r>
      <w:r w:rsidRPr="00AF66E3">
        <w:rPr>
          <w:rFonts w:ascii="Times New Roman" w:hAnsi="Times New Roman" w:cs="Times New Roman"/>
          <w:sz w:val="22"/>
          <w:szCs w:val="22"/>
        </w:rPr>
        <w:t>и</w:t>
      </w:r>
      <w:r w:rsidRPr="00AF66E3">
        <w:rPr>
          <w:rFonts w:ascii="Times New Roman" w:hAnsi="Times New Roman" w:cs="Times New Roman"/>
          <w:sz w:val="22"/>
          <w:szCs w:val="22"/>
        </w:rPr>
        <w:t>нистративного регламента).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(должность специалиста,                         (подпись)                      (расшифровка подписи)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  прием документов)</w:t>
      </w:r>
    </w:p>
    <w:p w:rsidR="00EF7145" w:rsidRPr="00AF66E3" w:rsidRDefault="00EF7145" w:rsidP="00DF72FE">
      <w:pPr>
        <w:rPr>
          <w:rFonts w:ascii="Times New Roman" w:hAnsi="Times New Roman" w:cs="Times New Roman"/>
        </w:rPr>
      </w:pPr>
    </w:p>
    <w:p w:rsidR="00CF14D8" w:rsidRPr="00AF66E3" w:rsidRDefault="00CF14D8" w:rsidP="00DF72FE">
      <w:pPr>
        <w:jc w:val="both"/>
        <w:rPr>
          <w:rFonts w:ascii="Times New Roman" w:hAnsi="Times New Roman" w:cs="Times New Roman"/>
        </w:rPr>
      </w:pPr>
    </w:p>
    <w:sectPr w:rsidR="00CF14D8" w:rsidRPr="00AF66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DB5" w:rsidRDefault="00774DB5" w:rsidP="00AF66E3">
      <w:pPr>
        <w:spacing w:after="0" w:line="240" w:lineRule="auto"/>
      </w:pPr>
      <w:r>
        <w:separator/>
      </w:r>
    </w:p>
  </w:endnote>
  <w:endnote w:type="continuationSeparator" w:id="1">
    <w:p w:rsidR="00774DB5" w:rsidRDefault="00774DB5" w:rsidP="00A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DB5" w:rsidRDefault="00774DB5" w:rsidP="00AF66E3">
      <w:pPr>
        <w:spacing w:after="0" w:line="240" w:lineRule="auto"/>
      </w:pPr>
      <w:r>
        <w:separator/>
      </w:r>
    </w:p>
  </w:footnote>
  <w:footnote w:type="continuationSeparator" w:id="1">
    <w:p w:rsidR="00774DB5" w:rsidRDefault="00774DB5" w:rsidP="00AF66E3">
      <w:pPr>
        <w:spacing w:after="0" w:line="240" w:lineRule="auto"/>
      </w:pPr>
      <w:r>
        <w:continuationSeparator/>
      </w:r>
    </w:p>
  </w:footnote>
  <w:footnote w:id="2">
    <w:p w:rsidR="00DB37DA" w:rsidRDefault="00DB37DA">
      <w:pPr>
        <w:pStyle w:val="ad"/>
      </w:pPr>
      <w:r>
        <w:rPr>
          <w:rStyle w:val="af"/>
        </w:rPr>
        <w:footnoteRef/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DB37DA" w:rsidRDefault="00DB37DA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DB37DA" w:rsidRDefault="00DB37DA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DB37DA" w:rsidRPr="00AF66E3" w:rsidRDefault="00DB37DA">
      <w:pPr>
        <w:pStyle w:val="ad"/>
        <w:rPr>
          <w:rFonts w:ascii="Times New Roman" w:hAnsi="Times New Roman" w:cs="Times New Roman"/>
        </w:rPr>
      </w:pPr>
      <w:r w:rsidRPr="00AF66E3">
        <w:rPr>
          <w:rStyle w:val="af"/>
          <w:rFonts w:ascii="Times New Roman" w:hAnsi="Times New Roman" w:cs="Times New Roman"/>
        </w:rPr>
        <w:footnoteRef/>
      </w:r>
      <w:r w:rsidRPr="00AF66E3">
        <w:rPr>
          <w:rFonts w:ascii="Times New Roman" w:hAnsi="Times New Roman" w:cs="Times New Roman"/>
        </w:rPr>
        <w:t xml:space="preserve"> Полный перечень установленных к документам требований, формы и образцы заявлений указываются органом, предоставляющим услугу</w:t>
      </w:r>
    </w:p>
  </w:footnote>
  <w:footnote w:id="6">
    <w:p w:rsidR="00DB37DA" w:rsidRPr="005257FF" w:rsidRDefault="00DB37D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DB37DA" w:rsidRDefault="00DB37D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DB37DA" w:rsidRDefault="00DB37DA">
      <w:pPr>
        <w:pStyle w:val="ad"/>
      </w:pPr>
      <w:r>
        <w:rPr>
          <w:rStyle w:val="af"/>
        </w:rPr>
        <w:footnoteRef/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  <w:footnote w:id="9">
    <w:p w:rsidR="00DB37DA" w:rsidRDefault="00DB37DA">
      <w:pPr>
        <w:pStyle w:val="ad"/>
      </w:pPr>
      <w:r>
        <w:rPr>
          <w:rStyle w:val="af"/>
        </w:rPr>
        <w:footnoteRef/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C8A"/>
    <w:multiLevelType w:val="hybridMultilevel"/>
    <w:tmpl w:val="3C14269E"/>
    <w:lvl w:ilvl="0" w:tplc="EDFA5110">
      <w:start w:val="1"/>
      <w:numFmt w:val="decimal"/>
      <w:lvlText w:val="%1."/>
      <w:lvlJc w:val="left"/>
      <w:pPr>
        <w:ind w:left="6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838FF"/>
    <w:multiLevelType w:val="hybridMultilevel"/>
    <w:tmpl w:val="12E4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154FF"/>
    <w:rsid w:val="00043FFA"/>
    <w:rsid w:val="00083A57"/>
    <w:rsid w:val="000858A5"/>
    <w:rsid w:val="000A11EE"/>
    <w:rsid w:val="000A723F"/>
    <w:rsid w:val="000B40A5"/>
    <w:rsid w:val="000C3183"/>
    <w:rsid w:val="000D6F00"/>
    <w:rsid w:val="000F362A"/>
    <w:rsid w:val="001154C7"/>
    <w:rsid w:val="00130EDA"/>
    <w:rsid w:val="001412EF"/>
    <w:rsid w:val="00143098"/>
    <w:rsid w:val="00190D59"/>
    <w:rsid w:val="0019200A"/>
    <w:rsid w:val="001A3F62"/>
    <w:rsid w:val="001A712D"/>
    <w:rsid w:val="001D1545"/>
    <w:rsid w:val="001E766E"/>
    <w:rsid w:val="00210933"/>
    <w:rsid w:val="0023324A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F20CD"/>
    <w:rsid w:val="002F25A2"/>
    <w:rsid w:val="00317545"/>
    <w:rsid w:val="00325179"/>
    <w:rsid w:val="00333441"/>
    <w:rsid w:val="00334126"/>
    <w:rsid w:val="00343504"/>
    <w:rsid w:val="003517E9"/>
    <w:rsid w:val="003533BF"/>
    <w:rsid w:val="003579F2"/>
    <w:rsid w:val="0036251E"/>
    <w:rsid w:val="003760D0"/>
    <w:rsid w:val="003A32DA"/>
    <w:rsid w:val="003C5387"/>
    <w:rsid w:val="003E07D3"/>
    <w:rsid w:val="003F4C77"/>
    <w:rsid w:val="0040302A"/>
    <w:rsid w:val="00422059"/>
    <w:rsid w:val="00430EE1"/>
    <w:rsid w:val="004337BB"/>
    <w:rsid w:val="00444A85"/>
    <w:rsid w:val="00451F05"/>
    <w:rsid w:val="00457B7F"/>
    <w:rsid w:val="00465C77"/>
    <w:rsid w:val="0047612B"/>
    <w:rsid w:val="004850B3"/>
    <w:rsid w:val="004850E1"/>
    <w:rsid w:val="004938FE"/>
    <w:rsid w:val="004B7A02"/>
    <w:rsid w:val="004D077D"/>
    <w:rsid w:val="004E7B41"/>
    <w:rsid w:val="004E7CAF"/>
    <w:rsid w:val="004F2A4B"/>
    <w:rsid w:val="004F6CAD"/>
    <w:rsid w:val="00504D25"/>
    <w:rsid w:val="00505D72"/>
    <w:rsid w:val="005079CF"/>
    <w:rsid w:val="00543F5B"/>
    <w:rsid w:val="00562303"/>
    <w:rsid w:val="00572E1A"/>
    <w:rsid w:val="005A1D24"/>
    <w:rsid w:val="005B1D04"/>
    <w:rsid w:val="005B4159"/>
    <w:rsid w:val="005C01CC"/>
    <w:rsid w:val="005F681A"/>
    <w:rsid w:val="0062005A"/>
    <w:rsid w:val="00621F36"/>
    <w:rsid w:val="006257BF"/>
    <w:rsid w:val="00646B5F"/>
    <w:rsid w:val="0065228E"/>
    <w:rsid w:val="00655F67"/>
    <w:rsid w:val="00657317"/>
    <w:rsid w:val="00682329"/>
    <w:rsid w:val="006912BC"/>
    <w:rsid w:val="00693701"/>
    <w:rsid w:val="006A687E"/>
    <w:rsid w:val="006B11E9"/>
    <w:rsid w:val="006C552C"/>
    <w:rsid w:val="006C706E"/>
    <w:rsid w:val="006D7C59"/>
    <w:rsid w:val="006E4E03"/>
    <w:rsid w:val="006F2352"/>
    <w:rsid w:val="006F4A07"/>
    <w:rsid w:val="0070015D"/>
    <w:rsid w:val="0070357F"/>
    <w:rsid w:val="0072498C"/>
    <w:rsid w:val="00725A06"/>
    <w:rsid w:val="007276D5"/>
    <w:rsid w:val="00733AA2"/>
    <w:rsid w:val="00750C15"/>
    <w:rsid w:val="007529A1"/>
    <w:rsid w:val="00774DB5"/>
    <w:rsid w:val="007775FB"/>
    <w:rsid w:val="00780212"/>
    <w:rsid w:val="00782AA5"/>
    <w:rsid w:val="00791164"/>
    <w:rsid w:val="007A2CA8"/>
    <w:rsid w:val="007E5B50"/>
    <w:rsid w:val="008202EC"/>
    <w:rsid w:val="0084228F"/>
    <w:rsid w:val="00843A61"/>
    <w:rsid w:val="00855449"/>
    <w:rsid w:val="008629F4"/>
    <w:rsid w:val="00883DB0"/>
    <w:rsid w:val="008A60E5"/>
    <w:rsid w:val="008D4067"/>
    <w:rsid w:val="00931C5E"/>
    <w:rsid w:val="009477FB"/>
    <w:rsid w:val="0097416D"/>
    <w:rsid w:val="009800DE"/>
    <w:rsid w:val="009A473A"/>
    <w:rsid w:val="009E1470"/>
    <w:rsid w:val="009F148E"/>
    <w:rsid w:val="00A019A3"/>
    <w:rsid w:val="00A0710F"/>
    <w:rsid w:val="00A17B13"/>
    <w:rsid w:val="00A20703"/>
    <w:rsid w:val="00A207C2"/>
    <w:rsid w:val="00A71E53"/>
    <w:rsid w:val="00A71E89"/>
    <w:rsid w:val="00A83585"/>
    <w:rsid w:val="00A87EF7"/>
    <w:rsid w:val="00A9325B"/>
    <w:rsid w:val="00A9797A"/>
    <w:rsid w:val="00AD04CE"/>
    <w:rsid w:val="00AD2D74"/>
    <w:rsid w:val="00AD5100"/>
    <w:rsid w:val="00AF1F2A"/>
    <w:rsid w:val="00AF66E3"/>
    <w:rsid w:val="00AF7671"/>
    <w:rsid w:val="00B15E34"/>
    <w:rsid w:val="00B355E1"/>
    <w:rsid w:val="00B421BB"/>
    <w:rsid w:val="00B61D7E"/>
    <w:rsid w:val="00B66DCA"/>
    <w:rsid w:val="00B6741C"/>
    <w:rsid w:val="00B80E9E"/>
    <w:rsid w:val="00B8471B"/>
    <w:rsid w:val="00BA1F97"/>
    <w:rsid w:val="00BD28FA"/>
    <w:rsid w:val="00BF2B5F"/>
    <w:rsid w:val="00BF7F66"/>
    <w:rsid w:val="00C01DEF"/>
    <w:rsid w:val="00C60D4B"/>
    <w:rsid w:val="00C8214E"/>
    <w:rsid w:val="00C95E22"/>
    <w:rsid w:val="00CE4E95"/>
    <w:rsid w:val="00CE7D16"/>
    <w:rsid w:val="00CF14D8"/>
    <w:rsid w:val="00CF47DF"/>
    <w:rsid w:val="00D00725"/>
    <w:rsid w:val="00D06EFC"/>
    <w:rsid w:val="00D13CA5"/>
    <w:rsid w:val="00D20A61"/>
    <w:rsid w:val="00D31907"/>
    <w:rsid w:val="00D4053D"/>
    <w:rsid w:val="00D62F0A"/>
    <w:rsid w:val="00DB37DA"/>
    <w:rsid w:val="00DC4552"/>
    <w:rsid w:val="00DF71B7"/>
    <w:rsid w:val="00DF72FE"/>
    <w:rsid w:val="00E115FD"/>
    <w:rsid w:val="00E329C6"/>
    <w:rsid w:val="00E3767E"/>
    <w:rsid w:val="00E57E28"/>
    <w:rsid w:val="00E62872"/>
    <w:rsid w:val="00E6585D"/>
    <w:rsid w:val="00E715B0"/>
    <w:rsid w:val="00E83F3D"/>
    <w:rsid w:val="00E85938"/>
    <w:rsid w:val="00EC062C"/>
    <w:rsid w:val="00EF7145"/>
    <w:rsid w:val="00F14D97"/>
    <w:rsid w:val="00F33C30"/>
    <w:rsid w:val="00F4543D"/>
    <w:rsid w:val="00F509CA"/>
    <w:rsid w:val="00F61318"/>
    <w:rsid w:val="00F90BE5"/>
    <w:rsid w:val="00F97C97"/>
    <w:rsid w:val="00FA6CAB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1A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A3F62"/>
  </w:style>
  <w:style w:type="paragraph" w:styleId="af2">
    <w:name w:val="footer"/>
    <w:basedOn w:val="a"/>
    <w:link w:val="af3"/>
    <w:uiPriority w:val="99"/>
    <w:semiHidden/>
    <w:unhideWhenUsed/>
    <w:rsid w:val="001A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A3F62"/>
  </w:style>
  <w:style w:type="paragraph" w:customStyle="1" w:styleId="ConsPlusTitle">
    <w:name w:val="ConsPlusTitle"/>
    <w:rsid w:val="001A3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463B-788A-4EEF-B7B8-C50E0826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38</Pages>
  <Words>7163</Words>
  <Characters>40832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Нина</cp:lastModifiedBy>
  <cp:revision>59</cp:revision>
  <cp:lastPrinted>2017-03-02T15:19:00Z</cp:lastPrinted>
  <dcterms:created xsi:type="dcterms:W3CDTF">2015-09-01T14:06:00Z</dcterms:created>
  <dcterms:modified xsi:type="dcterms:W3CDTF">2017-03-02T15:24:00Z</dcterms:modified>
</cp:coreProperties>
</file>