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D9" w:rsidRDefault="00F378D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78D9" w:rsidRPr="0096613E" w:rsidRDefault="00F378D9" w:rsidP="00F378D9">
      <w:pPr>
        <w:pStyle w:val="a7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МИХАЙЛОВСКОГО</w:t>
      </w:r>
      <w:r w:rsidRPr="0096613E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F378D9" w:rsidRPr="0096613E" w:rsidRDefault="00F378D9" w:rsidP="00F378D9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F378D9" w:rsidRPr="0096613E" w:rsidRDefault="00F378D9" w:rsidP="00F378D9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96613E">
        <w:rPr>
          <w:rFonts w:ascii="Times New Roman" w:hAnsi="Times New Roman"/>
          <w:bCs/>
          <w:sz w:val="24"/>
          <w:szCs w:val="24"/>
        </w:rPr>
        <w:t>ВОРОНЕЖСКОЙ ОБЛАСТИ</w:t>
      </w:r>
    </w:p>
    <w:p w:rsidR="00F378D9" w:rsidRPr="0096613E" w:rsidRDefault="00F378D9" w:rsidP="00F378D9">
      <w:pPr>
        <w:jc w:val="center"/>
        <w:rPr>
          <w:rFonts w:ascii="Times New Roman" w:hAnsi="Times New Roman"/>
          <w:sz w:val="24"/>
          <w:szCs w:val="24"/>
        </w:rPr>
      </w:pPr>
      <w:r w:rsidRPr="0096613E">
        <w:rPr>
          <w:rFonts w:ascii="Times New Roman" w:hAnsi="Times New Roman"/>
          <w:sz w:val="24"/>
          <w:szCs w:val="24"/>
        </w:rPr>
        <w:t>РАСПОРЯЖЕНИЕ</w:t>
      </w:r>
    </w:p>
    <w:p w:rsidR="00F378D9" w:rsidRPr="0096613E" w:rsidRDefault="00F378D9" w:rsidP="00F378D9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378D9" w:rsidRPr="00303141" w:rsidRDefault="00F378D9" w:rsidP="00F378D9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303141">
        <w:rPr>
          <w:rFonts w:ascii="Times New Roman" w:hAnsi="Times New Roman"/>
          <w:sz w:val="24"/>
          <w:szCs w:val="24"/>
          <w:u w:val="single"/>
        </w:rPr>
        <w:t xml:space="preserve">от  07.12.2016г.           № </w:t>
      </w:r>
      <w:r>
        <w:rPr>
          <w:rFonts w:ascii="Times New Roman" w:hAnsi="Times New Roman"/>
          <w:sz w:val="24"/>
          <w:szCs w:val="24"/>
          <w:u w:val="single"/>
        </w:rPr>
        <w:t>62</w:t>
      </w:r>
    </w:p>
    <w:p w:rsidR="00F378D9" w:rsidRPr="00303141" w:rsidRDefault="00F378D9" w:rsidP="00F378D9">
      <w:pPr>
        <w:pStyle w:val="a5"/>
        <w:rPr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 xml:space="preserve">    п. Михайловский</w:t>
      </w:r>
    </w:p>
    <w:p w:rsidR="00F378D9" w:rsidRPr="00303141" w:rsidRDefault="00F378D9" w:rsidP="00F378D9">
      <w:pPr>
        <w:pStyle w:val="a5"/>
        <w:rPr>
          <w:sz w:val="24"/>
          <w:szCs w:val="24"/>
        </w:rPr>
      </w:pPr>
    </w:p>
    <w:p w:rsidR="00F378D9" w:rsidRPr="00303141" w:rsidRDefault="00F378D9" w:rsidP="00F378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141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F378D9" w:rsidRPr="00303141" w:rsidRDefault="00F378D9" w:rsidP="00F378D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3141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F378D9" w:rsidRDefault="00F378D9" w:rsidP="00F378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03141">
        <w:rPr>
          <w:rFonts w:ascii="Times New Roman" w:hAnsi="Times New Roman"/>
          <w:sz w:val="24"/>
          <w:szCs w:val="24"/>
        </w:rPr>
        <w:t>«</w:t>
      </w:r>
      <w:r w:rsidRPr="00F378D9">
        <w:rPr>
          <w:rFonts w:ascii="Times New Roman" w:hAnsi="Times New Roman" w:cs="Times New Roman"/>
          <w:sz w:val="24"/>
          <w:szCs w:val="24"/>
        </w:rPr>
        <w:t xml:space="preserve">Предоставление порубочного билета и </w:t>
      </w:r>
    </w:p>
    <w:p w:rsidR="00F378D9" w:rsidRDefault="00F378D9" w:rsidP="00F378D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8D9">
        <w:rPr>
          <w:rFonts w:ascii="Times New Roman" w:hAnsi="Times New Roman" w:cs="Times New Roman"/>
          <w:sz w:val="24"/>
          <w:szCs w:val="24"/>
        </w:rPr>
        <w:t xml:space="preserve">(или) разрешения на пересадку деревьев </w:t>
      </w:r>
    </w:p>
    <w:p w:rsidR="00F378D9" w:rsidRPr="00303141" w:rsidRDefault="00F378D9" w:rsidP="00F378D9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8D9">
        <w:rPr>
          <w:rFonts w:ascii="Times New Roman" w:hAnsi="Times New Roman" w:cs="Times New Roman"/>
          <w:sz w:val="24"/>
          <w:szCs w:val="24"/>
        </w:rPr>
        <w:t>и кустарников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»</w:t>
      </w:r>
    </w:p>
    <w:p w:rsidR="00F378D9" w:rsidRPr="00303141" w:rsidRDefault="00F378D9" w:rsidP="00F378D9">
      <w:pPr>
        <w:tabs>
          <w:tab w:val="right" w:pos="10206"/>
        </w:tabs>
        <w:jc w:val="both"/>
        <w:rPr>
          <w:rFonts w:ascii="Arial" w:hAnsi="Arial" w:cs="Arial"/>
          <w:sz w:val="24"/>
          <w:szCs w:val="24"/>
        </w:rPr>
      </w:pPr>
    </w:p>
    <w:p w:rsidR="00F378D9" w:rsidRPr="00303141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141">
        <w:rPr>
          <w:rFonts w:ascii="Times New Roman" w:hAnsi="Times New Roman"/>
          <w:sz w:val="24"/>
          <w:szCs w:val="24"/>
        </w:rPr>
        <w:t xml:space="preserve">        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303141">
        <w:rPr>
          <w:rFonts w:ascii="Times New Roman" w:hAnsi="Times New Roman"/>
          <w:sz w:val="24"/>
          <w:szCs w:val="24"/>
        </w:rPr>
        <w:t>а</w:t>
      </w:r>
      <w:r w:rsidRPr="00303141">
        <w:rPr>
          <w:rFonts w:ascii="Times New Roman" w:hAnsi="Times New Roman"/>
          <w:sz w:val="24"/>
          <w:szCs w:val="24"/>
        </w:rPr>
        <w:t>низации предоставления государственных и муниципальных услуг», а также в целях обе</w:t>
      </w:r>
      <w:r w:rsidRPr="00303141">
        <w:rPr>
          <w:rFonts w:ascii="Times New Roman" w:hAnsi="Times New Roman"/>
          <w:sz w:val="24"/>
          <w:szCs w:val="24"/>
        </w:rPr>
        <w:t>с</w:t>
      </w:r>
      <w:r w:rsidRPr="00303141">
        <w:rPr>
          <w:rFonts w:ascii="Times New Roman" w:hAnsi="Times New Roman"/>
          <w:sz w:val="24"/>
          <w:szCs w:val="24"/>
        </w:rPr>
        <w:t>печения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п. Панино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Ж</w:t>
      </w:r>
      <w:r w:rsidRPr="00303141">
        <w:rPr>
          <w:rFonts w:ascii="Times New Roman" w:hAnsi="Times New Roman"/>
          <w:sz w:val="24"/>
          <w:szCs w:val="24"/>
        </w:rPr>
        <w:t>е</w:t>
      </w:r>
      <w:r w:rsidRPr="00303141">
        <w:rPr>
          <w:rFonts w:ascii="Times New Roman" w:hAnsi="Times New Roman"/>
          <w:sz w:val="24"/>
          <w:szCs w:val="24"/>
        </w:rPr>
        <w:t>лезнодорожная, 55</w:t>
      </w:r>
    </w:p>
    <w:p w:rsidR="00F378D9" w:rsidRPr="00303141" w:rsidRDefault="00F378D9" w:rsidP="00F378D9">
      <w:pPr>
        <w:pStyle w:val="a5"/>
        <w:jc w:val="both"/>
        <w:rPr>
          <w:rFonts w:ascii="Times New Roman" w:eastAsiaTheme="minorHAnsi" w:hAnsi="Times New Roman"/>
          <w:sz w:val="24"/>
          <w:szCs w:val="24"/>
        </w:rPr>
      </w:pPr>
    </w:p>
    <w:p w:rsidR="00F378D9" w:rsidRPr="00F378D9" w:rsidRDefault="00F378D9" w:rsidP="00F378D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78D9">
        <w:rPr>
          <w:rFonts w:ascii="Times New Roman" w:hAnsi="Times New Roman"/>
          <w:sz w:val="24"/>
          <w:szCs w:val="24"/>
        </w:rPr>
        <w:t xml:space="preserve">Утвердить технологическую схему предоставления муниципальной услуги  </w:t>
      </w:r>
    </w:p>
    <w:p w:rsidR="00F378D9" w:rsidRPr="00F378D9" w:rsidRDefault="00F378D9" w:rsidP="00F378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8D9">
        <w:rPr>
          <w:rFonts w:ascii="Times New Roman" w:hAnsi="Times New Roman"/>
          <w:sz w:val="24"/>
          <w:szCs w:val="24"/>
        </w:rPr>
        <w:t xml:space="preserve">« </w:t>
      </w:r>
      <w:r w:rsidRPr="00F378D9">
        <w:rPr>
          <w:rFonts w:ascii="Times New Roman" w:hAnsi="Times New Roman" w:cs="Times New Roman"/>
          <w:sz w:val="24"/>
          <w:szCs w:val="24"/>
        </w:rPr>
        <w:t>Предоставление  порубочного билета и   (или) разрешения на пересадку деревьев   и кустарников</w:t>
      </w:r>
      <w:r w:rsidRPr="00F378D9">
        <w:rPr>
          <w:rFonts w:ascii="Times New Roman" w:hAnsi="Times New Roman"/>
          <w:sz w:val="24"/>
          <w:szCs w:val="24"/>
        </w:rPr>
        <w:t>» согласно приложению</w:t>
      </w:r>
      <w:r w:rsidRPr="00F378D9">
        <w:rPr>
          <w:rFonts w:ascii="Times New Roman" w:hAnsi="Times New Roman"/>
          <w:b/>
          <w:sz w:val="24"/>
          <w:szCs w:val="24"/>
        </w:rPr>
        <w:t>.</w:t>
      </w:r>
    </w:p>
    <w:p w:rsidR="00F378D9" w:rsidRPr="00303141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78D9" w:rsidRPr="00F378D9" w:rsidRDefault="00F378D9" w:rsidP="00F378D9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378D9">
        <w:rPr>
          <w:rFonts w:ascii="Times New Roman" w:hAnsi="Times New Roman"/>
          <w:sz w:val="24"/>
          <w:szCs w:val="24"/>
        </w:rPr>
        <w:t xml:space="preserve">Опубликовать технологическую схему предоставления муниципальной услуги </w:t>
      </w:r>
    </w:p>
    <w:p w:rsidR="00F378D9" w:rsidRPr="00F378D9" w:rsidRDefault="00F378D9" w:rsidP="00F37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8D9">
        <w:rPr>
          <w:rFonts w:ascii="Times New Roman" w:hAnsi="Times New Roman"/>
          <w:sz w:val="24"/>
          <w:szCs w:val="24"/>
        </w:rPr>
        <w:t>«</w:t>
      </w:r>
      <w:r w:rsidRPr="00F378D9">
        <w:rPr>
          <w:rFonts w:ascii="Times New Roman" w:hAnsi="Times New Roman" w:cs="Times New Roman"/>
          <w:sz w:val="24"/>
          <w:szCs w:val="24"/>
        </w:rPr>
        <w:t xml:space="preserve">Предоставление порубочного билета и   (или) разрешения на пересадку деревьев </w:t>
      </w:r>
    </w:p>
    <w:p w:rsidR="00F378D9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378D9">
        <w:rPr>
          <w:rFonts w:ascii="Times New Roman" w:hAnsi="Times New Roman"/>
          <w:sz w:val="24"/>
          <w:szCs w:val="24"/>
        </w:rPr>
        <w:t>и кустарников</w:t>
      </w:r>
      <w:r w:rsidRPr="0030314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>на официальном сайте администрации Михайловского сельского посел</w:t>
      </w:r>
      <w:r w:rsidRPr="00303141">
        <w:rPr>
          <w:rFonts w:ascii="Times New Roman" w:hAnsi="Times New Roman"/>
          <w:sz w:val="24"/>
          <w:szCs w:val="24"/>
        </w:rPr>
        <w:t>е</w:t>
      </w:r>
      <w:r w:rsidRPr="00303141">
        <w:rPr>
          <w:rFonts w:ascii="Times New Roman" w:hAnsi="Times New Roman"/>
          <w:sz w:val="24"/>
          <w:szCs w:val="24"/>
        </w:rPr>
        <w:t xml:space="preserve">ния Панинского муниципального района в сети Интернет. </w:t>
      </w:r>
    </w:p>
    <w:p w:rsidR="00F378D9" w:rsidRPr="00303141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78D9" w:rsidRDefault="00F378D9" w:rsidP="00F378D9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03141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:rsidR="00F378D9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78D9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78D9" w:rsidRPr="00303141" w:rsidRDefault="00F378D9" w:rsidP="00F378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03141">
        <w:rPr>
          <w:rFonts w:ascii="Times New Roman" w:hAnsi="Times New Roman"/>
          <w:sz w:val="24"/>
          <w:szCs w:val="24"/>
        </w:rPr>
        <w:t>Глава  Михайловского сельского поселения                                              В.И.Маслов</w:t>
      </w:r>
    </w:p>
    <w:p w:rsidR="00F378D9" w:rsidRDefault="00F378D9" w:rsidP="00F378D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F378D9" w:rsidRDefault="00F378D9" w:rsidP="00DF72FE">
      <w:pPr>
        <w:spacing w:after="0" w:line="240" w:lineRule="auto"/>
        <w:jc w:val="center"/>
      </w:pPr>
    </w:p>
    <w:p w:rsidR="00F378D9" w:rsidRDefault="00F378D9" w:rsidP="00DF72FE">
      <w:pPr>
        <w:spacing w:after="0" w:line="240" w:lineRule="auto"/>
        <w:jc w:val="center"/>
      </w:pPr>
    </w:p>
    <w:p w:rsidR="00F378D9" w:rsidRDefault="00F378D9" w:rsidP="00DF72FE">
      <w:pPr>
        <w:spacing w:after="0" w:line="240" w:lineRule="auto"/>
        <w:jc w:val="center"/>
      </w:pPr>
    </w:p>
    <w:p w:rsidR="00F378D9" w:rsidRDefault="00F378D9" w:rsidP="00DF72FE">
      <w:pPr>
        <w:spacing w:after="0" w:line="240" w:lineRule="auto"/>
        <w:jc w:val="center"/>
      </w:pPr>
    </w:p>
    <w:p w:rsidR="00F378D9" w:rsidRPr="00F378D9" w:rsidRDefault="00F378D9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8D9" w:rsidRDefault="00F378D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F378D9" w:rsidSect="00F378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t>ТИПОВАЯ ТЕХНОЛОГИЧЕСКАЯ СХЕМА</w:t>
      </w:r>
    </w:p>
    <w:p w:rsidR="00083A57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E6585D" w:rsidP="00F378D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Администрация </w:t>
            </w:r>
            <w:r w:rsidR="00F378D9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385424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385424" w:rsidRDefault="002A1F92" w:rsidP="00F378D9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F011DF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  <w:r w:rsidR="00F378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78D9" w:rsidRPr="00F378D9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  (или) разрешения на пересадку деревьев и кустарников</w:t>
            </w:r>
            <w:r w:rsidR="00F378D9">
              <w:rPr>
                <w:rFonts w:ascii="Times New Roman" w:hAnsi="Times New Roman" w:cs="Times New Roman"/>
                <w:sz w:val="24"/>
                <w:szCs w:val="24"/>
              </w:rPr>
              <w:t>» постановление № 77 от 14.06.2016г.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«подуслуги»</w:t>
            </w:r>
            <w:r w:rsidR="00D328E5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E752C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  <w:r w:rsidR="00E32C31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27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  <w:r w:rsidR="001710B7" w:rsidRPr="00385424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явления  </w:t>
            </w:r>
            <w:r w:rsidRPr="00385424">
              <w:rPr>
                <w:rFonts w:ascii="Times New Roman" w:hAnsi="Times New Roman" w:cs="Times New Roman"/>
              </w:rPr>
              <w:lastRenderedPageBreak/>
              <w:t>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несоответствие документов или сведений в них содержащихся фактическим </w:t>
            </w:r>
            <w:r w:rsidRPr="00385424">
              <w:rPr>
                <w:rFonts w:ascii="Times New Roman" w:hAnsi="Times New Roman" w:cs="Times New Roman"/>
              </w:rPr>
              <w:lastRenderedPageBreak/>
              <w:t>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lastRenderedPageBreak/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lastRenderedPageBreak/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Доверенность должна бытьдействующей </w:t>
            </w:r>
            <w:r w:rsidRPr="00385424">
              <w:rPr>
                <w:rFonts w:ascii="Times New Roman" w:hAnsi="Times New Roman" w:cs="Times New Roman"/>
              </w:rPr>
              <w:lastRenderedPageBreak/>
              <w:t>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веренность, в которой не </w:t>
            </w:r>
            <w:r w:rsidRPr="00385424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одногогода с момента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lastRenderedPageBreak/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0"/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1"/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r w:rsidRPr="00385424">
              <w:rPr>
                <w:rFonts w:ascii="Times New Roman" w:hAnsi="Times New Roman" w:cs="Times New Roman"/>
              </w:rPr>
              <w:lastRenderedPageBreak/>
              <w:t>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ответс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3 кален. дн.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bookmarkStart w:id="1" w:name="_GoBack"/>
            <w:bookmarkEnd w:id="1"/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4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 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2F" w:rsidRDefault="00BE792F" w:rsidP="00D328E5">
      <w:pPr>
        <w:spacing w:after="0" w:line="240" w:lineRule="auto"/>
      </w:pPr>
      <w:r>
        <w:separator/>
      </w:r>
    </w:p>
  </w:endnote>
  <w:endnote w:type="continuationSeparator" w:id="1">
    <w:p w:rsidR="00BE792F" w:rsidRDefault="00BE792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2F" w:rsidRDefault="00BE792F" w:rsidP="00D328E5">
      <w:pPr>
        <w:spacing w:after="0" w:line="240" w:lineRule="auto"/>
      </w:pPr>
      <w:r>
        <w:separator/>
      </w:r>
    </w:p>
  </w:footnote>
  <w:footnote w:type="continuationSeparator" w:id="1">
    <w:p w:rsidR="00BE792F" w:rsidRDefault="00BE792F" w:rsidP="00D328E5">
      <w:pPr>
        <w:spacing w:after="0" w:line="240" w:lineRule="auto"/>
      </w:pPr>
      <w:r>
        <w:continuationSeparator/>
      </w:r>
    </w:p>
  </w:footnote>
  <w:footnote w:id="2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385424" w:rsidRPr="00385424" w:rsidRDefault="00385424" w:rsidP="005B5D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42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85424">
        <w:rPr>
          <w:rFonts w:ascii="Times New Roman" w:hAnsi="Times New Roman" w:cs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 w:cs="Times New Roman"/>
          <w:sz w:val="20"/>
          <w:szCs w:val="20"/>
        </w:rPr>
        <w:t>а</w:t>
      </w:r>
      <w:r w:rsidRPr="00385424">
        <w:rPr>
          <w:rFonts w:ascii="Times New Roman" w:hAnsi="Times New Roman" w:cs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6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7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8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9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="001C2B69"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10"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385424" w:rsidRPr="001C2B69" w:rsidRDefault="00385424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11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3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«подуслуг» идентичны </w:t>
      </w:r>
    </w:p>
  </w:footnote>
  <w:footnote w:id="14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7FEF"/>
    <w:multiLevelType w:val="hybridMultilevel"/>
    <w:tmpl w:val="9E1C03A4"/>
    <w:lvl w:ilvl="0" w:tplc="DC7AC336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1F92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3F6BC3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6001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E792F"/>
    <w:rsid w:val="00BF7F66"/>
    <w:rsid w:val="00C45973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378D9"/>
    <w:rsid w:val="00FB67BA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F3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2D9B-8E14-49ED-8548-B5BCE20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22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57</cp:revision>
  <dcterms:created xsi:type="dcterms:W3CDTF">2015-09-01T14:06:00Z</dcterms:created>
  <dcterms:modified xsi:type="dcterms:W3CDTF">2016-12-18T15:04:00Z</dcterms:modified>
</cp:coreProperties>
</file>